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259" w:rsidRPr="00BD3F27" w:rsidRDefault="00BA4259" w:rsidP="00BA4259">
      <w:pPr>
        <w:rPr>
          <w:color w:val="000000" w:themeColor="text1"/>
        </w:rPr>
      </w:pPr>
    </w:p>
    <w:p w:rsidR="00BA4259" w:rsidRPr="00BD3F27" w:rsidRDefault="006941CF" w:rsidP="00BA4259">
      <w:pPr>
        <w:pStyle w:val="Heading1"/>
        <w:spacing w:before="0" w:after="0" w:line="480" w:lineRule="auto"/>
        <w:rPr>
          <w:color w:val="000000" w:themeColor="text1"/>
        </w:rPr>
      </w:pPr>
      <w:r w:rsidRPr="00BD3F27">
        <w:rPr>
          <w:color w:val="000000" w:themeColor="text1"/>
        </w:rPr>
        <w:t>Text S</w:t>
      </w:r>
      <w:r w:rsidR="00C377CD" w:rsidRPr="00BD3F27">
        <w:rPr>
          <w:color w:val="000000" w:themeColor="text1"/>
        </w:rPr>
        <w:t>1</w:t>
      </w:r>
    </w:p>
    <w:p w:rsidR="00BA4259" w:rsidRPr="00BD3F27" w:rsidRDefault="001417E0" w:rsidP="00BA4259">
      <w:pPr>
        <w:rPr>
          <w:rFonts w:ascii="Arial" w:hAnsi="Arial" w:cs="Arial"/>
          <w:b/>
          <w:color w:val="000000" w:themeColor="text1"/>
        </w:rPr>
      </w:pPr>
      <w:r w:rsidRPr="00BD3F27">
        <w:rPr>
          <w:rFonts w:ascii="Arial" w:hAnsi="Arial" w:cs="Arial"/>
          <w:b/>
          <w:color w:val="000000" w:themeColor="text1"/>
        </w:rPr>
        <w:t>METHODS</w:t>
      </w:r>
    </w:p>
    <w:p w:rsidR="004B74E5" w:rsidRPr="00BD3F27" w:rsidRDefault="004B74E5" w:rsidP="00BA4259">
      <w:pPr>
        <w:rPr>
          <w:rFonts w:ascii="Arial" w:hAnsi="Arial" w:cs="Arial"/>
          <w:b/>
          <w:color w:val="000000" w:themeColor="text1"/>
        </w:rPr>
      </w:pPr>
    </w:p>
    <w:p w:rsidR="001417E0" w:rsidRPr="00BD3F27" w:rsidRDefault="001417E0" w:rsidP="00BA4259">
      <w:pPr>
        <w:rPr>
          <w:rFonts w:ascii="Arial" w:hAnsi="Arial" w:cs="Arial"/>
          <w:b/>
          <w:color w:val="000000" w:themeColor="text1"/>
        </w:rPr>
      </w:pPr>
    </w:p>
    <w:p w:rsidR="001417E0" w:rsidRPr="00BD3F27" w:rsidRDefault="004B74E5" w:rsidP="00BA4259">
      <w:pPr>
        <w:rPr>
          <w:rFonts w:ascii="Arial" w:hAnsi="Arial" w:cs="Arial"/>
          <w:b/>
          <w:color w:val="000000" w:themeColor="text1"/>
        </w:rPr>
      </w:pPr>
      <w:r w:rsidRPr="00BD3F27">
        <w:rPr>
          <w:rFonts w:ascii="Arial" w:hAnsi="Arial" w:cs="Arial"/>
          <w:b/>
          <w:color w:val="000000" w:themeColor="text1"/>
        </w:rPr>
        <w:t xml:space="preserve">Additional </w:t>
      </w:r>
      <w:r w:rsidR="001417E0" w:rsidRPr="00BD3F27">
        <w:rPr>
          <w:rFonts w:ascii="Arial" w:hAnsi="Arial" w:cs="Arial"/>
          <w:b/>
          <w:color w:val="000000" w:themeColor="text1"/>
        </w:rPr>
        <w:t>Network Inference Algorithm</w:t>
      </w:r>
    </w:p>
    <w:p w:rsidR="004B74E5" w:rsidRPr="00BD3F27" w:rsidRDefault="004B74E5" w:rsidP="00BA4259">
      <w:pPr>
        <w:rPr>
          <w:rFonts w:ascii="Arial" w:hAnsi="Arial" w:cs="Arial"/>
          <w:b/>
          <w:color w:val="000000" w:themeColor="text1"/>
        </w:rPr>
      </w:pPr>
    </w:p>
    <w:p w:rsidR="004B74E5" w:rsidRPr="00BD3F27" w:rsidRDefault="004B74E5" w:rsidP="004B74E5">
      <w:pPr>
        <w:spacing w:line="480" w:lineRule="auto"/>
        <w:jc w:val="both"/>
        <w:rPr>
          <w:color w:val="000000" w:themeColor="text1"/>
        </w:rPr>
      </w:pPr>
      <w:r w:rsidRPr="00BD3F27">
        <w:rPr>
          <w:color w:val="000000" w:themeColor="text1"/>
        </w:rPr>
        <w:t xml:space="preserve">The additional algorithm for building clusters is very similar to one utilised in Abraham et al. </w:t>
      </w:r>
      <w:r w:rsidR="006403E7" w:rsidRPr="00BD3F27">
        <w:rPr>
          <w:color w:val="000000" w:themeColor="text1"/>
        </w:rPr>
        <w:t>[1]</w:t>
      </w:r>
      <w:r w:rsidRPr="00BD3F27">
        <w:rPr>
          <w:color w:val="000000" w:themeColor="text1"/>
        </w:rPr>
        <w:t xml:space="preserve"> nonetheless the key ideas will be briefly discussed here. It is assumed that a symmetric matrix I with the same number of columns as the number of elements to be clustered is available. The off diagonal entries of this matrix are all positive and are the values of the mutual information values between the corresponding elements being clustered. In addition to the matrix a standardised clustering strength </w:t>
      </w:r>
      <w:proofErr w:type="spellStart"/>
      <w:r w:rsidRPr="00BD3F27">
        <w:rPr>
          <w:rFonts w:ascii="Helvetica" w:hAnsi="Helvetica" w:cs="Helvetica"/>
          <w:color w:val="000000" w:themeColor="text1"/>
          <w:sz w:val="21"/>
          <w:szCs w:val="21"/>
          <w:lang w:val="en-US"/>
        </w:rPr>
        <w:t>i</w:t>
      </w:r>
      <w:r w:rsidRPr="00BD3F27">
        <w:rPr>
          <w:rFonts w:ascii="Helvetica" w:hAnsi="Helvetica" w:cs="Helvetica"/>
          <w:color w:val="000000" w:themeColor="text1"/>
          <w:sz w:val="15"/>
          <w:szCs w:val="15"/>
          <w:lang w:val="en-US"/>
        </w:rPr>
        <w:t>min</w:t>
      </w:r>
      <w:proofErr w:type="spellEnd"/>
      <w:r w:rsidRPr="00BD3F27">
        <w:rPr>
          <w:rFonts w:ascii="Helvetica" w:hAnsi="Helvetica" w:cs="Helvetica"/>
          <w:color w:val="000000" w:themeColor="text1"/>
          <w:sz w:val="15"/>
          <w:szCs w:val="15"/>
          <w:lang w:val="en-US"/>
        </w:rPr>
        <w:t xml:space="preserve"> </w:t>
      </w:r>
      <w:r w:rsidRPr="00BD3F27">
        <w:rPr>
          <w:color w:val="000000" w:themeColor="text1"/>
        </w:rPr>
        <w:t xml:space="preserve">must be supplied by the user.  The crucial first step in initializing the algorithm is to associate a node of an undirected graph with each element to be clustered and define edges between nodes when the mutual information exceeds </w:t>
      </w:r>
      <w:proofErr w:type="spellStart"/>
      <w:r w:rsidRPr="00BD3F27">
        <w:rPr>
          <w:rFonts w:ascii="Helvetica" w:hAnsi="Helvetica" w:cs="Helvetica"/>
          <w:color w:val="000000" w:themeColor="text1"/>
          <w:sz w:val="21"/>
          <w:szCs w:val="21"/>
          <w:lang w:val="en-US"/>
        </w:rPr>
        <w:t>i</w:t>
      </w:r>
      <w:r w:rsidRPr="00BD3F27">
        <w:rPr>
          <w:rFonts w:ascii="Helvetica" w:hAnsi="Helvetica" w:cs="Helvetica"/>
          <w:color w:val="000000" w:themeColor="text1"/>
          <w:sz w:val="15"/>
          <w:szCs w:val="15"/>
          <w:lang w:val="en-US"/>
        </w:rPr>
        <w:t>min</w:t>
      </w:r>
      <w:proofErr w:type="spellEnd"/>
      <w:r w:rsidRPr="00BD3F27">
        <w:rPr>
          <w:rFonts w:ascii="Helvetica" w:hAnsi="Helvetica" w:cs="Helvetica"/>
          <w:color w:val="000000" w:themeColor="text1"/>
          <w:sz w:val="15"/>
          <w:szCs w:val="15"/>
          <w:lang w:val="en-US"/>
        </w:rPr>
        <w:t xml:space="preserve">.  </w:t>
      </w:r>
      <w:r w:rsidRPr="00BD3F27">
        <w:rPr>
          <w:color w:val="000000" w:themeColor="text1"/>
        </w:rPr>
        <w:t xml:space="preserve">Thus the edge structure of the graph is determined by entries in the mutual information matrix and </w:t>
      </w:r>
      <w:proofErr w:type="spellStart"/>
      <w:r w:rsidRPr="00BD3F27">
        <w:rPr>
          <w:rFonts w:ascii="Helvetica" w:hAnsi="Helvetica" w:cs="Helvetica"/>
          <w:color w:val="000000" w:themeColor="text1"/>
          <w:sz w:val="21"/>
          <w:szCs w:val="21"/>
          <w:lang w:val="en-US"/>
        </w:rPr>
        <w:t>i</w:t>
      </w:r>
      <w:r w:rsidRPr="00BD3F27">
        <w:rPr>
          <w:rFonts w:ascii="Helvetica" w:hAnsi="Helvetica" w:cs="Helvetica"/>
          <w:color w:val="000000" w:themeColor="text1"/>
          <w:sz w:val="15"/>
          <w:szCs w:val="15"/>
          <w:lang w:val="en-US"/>
        </w:rPr>
        <w:t>min</w:t>
      </w:r>
      <w:proofErr w:type="spellEnd"/>
      <w:r w:rsidRPr="00BD3F27">
        <w:rPr>
          <w:color w:val="000000" w:themeColor="text1"/>
        </w:rPr>
        <w:t xml:space="preserve">.  The algorithm proceeds by executing a self avoiding random walk on the lattice defined by the graph where the starting point of the walk is a hub node.  The second node visited is linked to the first, the third to the second and the first etc. and the algorithm halts when there are no new nodes to visit. The algorithm thus seeks to find cliques in the graph.  The choice of which of the many possible nodes to visit at any stage is made by examining the number of neighbours of each candidate for inclusion and  choosing one node using a coin flip biased towards nodes with a greater number of neighbours.  The algorithm is thus based on a stochastic greedy heuristic. </w:t>
      </w:r>
    </w:p>
    <w:p w:rsidR="001417E0" w:rsidRPr="00BD3F27" w:rsidRDefault="001417E0" w:rsidP="004B74E5">
      <w:pPr>
        <w:spacing w:line="480" w:lineRule="auto"/>
        <w:jc w:val="both"/>
        <w:rPr>
          <w:color w:val="000000" w:themeColor="text1"/>
        </w:rPr>
      </w:pPr>
    </w:p>
    <w:p w:rsidR="001417E0" w:rsidRPr="00BD3F27" w:rsidRDefault="001417E0" w:rsidP="004B74E5">
      <w:pPr>
        <w:spacing w:line="480" w:lineRule="auto"/>
        <w:jc w:val="both"/>
        <w:rPr>
          <w:color w:val="000000" w:themeColor="text1"/>
        </w:rPr>
      </w:pPr>
      <w:r w:rsidRPr="00BD3F27">
        <w:rPr>
          <w:color w:val="000000" w:themeColor="text1"/>
        </w:rPr>
        <w:t xml:space="preserve">In pseudo-code the algorithm is described below </w:t>
      </w:r>
      <w:proofErr w:type="gramStart"/>
      <w:r w:rsidRPr="00BD3F27">
        <w:rPr>
          <w:color w:val="000000" w:themeColor="text1"/>
        </w:rPr>
        <w:t>( I</w:t>
      </w:r>
      <w:proofErr w:type="gramEnd"/>
      <w:r w:rsidRPr="00BD3F27">
        <w:rPr>
          <w:color w:val="000000" w:themeColor="text1"/>
        </w:rPr>
        <w:t>(</w:t>
      </w:r>
      <w:proofErr w:type="spellStart"/>
      <w:r w:rsidRPr="00BD3F27">
        <w:rPr>
          <w:color w:val="000000" w:themeColor="text1"/>
        </w:rPr>
        <w:t>x,y</w:t>
      </w:r>
      <w:proofErr w:type="spellEnd"/>
      <w:r w:rsidRPr="00BD3F27">
        <w:rPr>
          <w:color w:val="000000" w:themeColor="text1"/>
        </w:rPr>
        <w:t xml:space="preserve">) is an element of the Mutual Information matrix and </w:t>
      </w:r>
      <w:proofErr w:type="spellStart"/>
      <w:r w:rsidRPr="00BD3F27">
        <w:rPr>
          <w:color w:val="000000" w:themeColor="text1"/>
        </w:rPr>
        <w:t>ReturnSet</w:t>
      </w:r>
      <w:proofErr w:type="spellEnd"/>
      <w:r w:rsidRPr="00BD3F27">
        <w:rPr>
          <w:color w:val="000000" w:themeColor="text1"/>
        </w:rPr>
        <w:t xml:space="preserve"> is the output of the algorithm): </w:t>
      </w:r>
    </w:p>
    <w:p w:rsidR="001417E0" w:rsidRPr="00BD3F27" w:rsidRDefault="001417E0" w:rsidP="001417E0">
      <w:pPr>
        <w:spacing w:line="480" w:lineRule="auto"/>
        <w:jc w:val="both"/>
        <w:rPr>
          <w:i/>
          <w:color w:val="000000" w:themeColor="text1"/>
          <w:lang w:val="en-US"/>
        </w:rPr>
      </w:pPr>
      <w:r w:rsidRPr="00BD3F27">
        <w:rPr>
          <w:i/>
          <w:color w:val="000000" w:themeColor="text1"/>
          <w:lang w:val="en-US"/>
        </w:rPr>
        <w:lastRenderedPageBreak/>
        <w:t xml:space="preserve">G: </w:t>
      </w:r>
      <w:proofErr w:type="gramStart"/>
      <w:r w:rsidRPr="00BD3F27">
        <w:rPr>
          <w:i/>
          <w:color w:val="000000" w:themeColor="text1"/>
          <w:lang w:val="en-US"/>
        </w:rPr>
        <w:t>undirected  graph</w:t>
      </w:r>
      <w:proofErr w:type="gramEnd"/>
    </w:p>
    <w:p w:rsidR="001417E0" w:rsidRPr="00BD3F27" w:rsidRDefault="001417E0" w:rsidP="001417E0">
      <w:pPr>
        <w:spacing w:line="480" w:lineRule="auto"/>
        <w:jc w:val="both"/>
        <w:rPr>
          <w:i/>
          <w:color w:val="000000" w:themeColor="text1"/>
          <w:lang w:val="en-US"/>
        </w:rPr>
      </w:pPr>
      <w:r w:rsidRPr="00BD3F27">
        <w:rPr>
          <w:i/>
          <w:color w:val="000000" w:themeColor="text1"/>
          <w:lang w:val="en-US"/>
        </w:rPr>
        <w:t>S: set of all nodes in G</w:t>
      </w:r>
    </w:p>
    <w:p w:rsidR="001417E0" w:rsidRPr="00BD3F27" w:rsidRDefault="001417E0" w:rsidP="001417E0">
      <w:pPr>
        <w:spacing w:line="480" w:lineRule="auto"/>
        <w:jc w:val="both"/>
        <w:rPr>
          <w:i/>
          <w:color w:val="000000" w:themeColor="text1"/>
          <w:lang w:val="en-US"/>
        </w:rPr>
      </w:pPr>
      <w:r w:rsidRPr="00BD3F27">
        <w:rPr>
          <w:i/>
          <w:color w:val="000000" w:themeColor="text1"/>
          <w:lang w:val="en-US"/>
        </w:rPr>
        <w:t xml:space="preserve">E: set of all edges in G   </w:t>
      </w:r>
      <w:r w:rsidRPr="00BD3F27">
        <w:rPr>
          <w:rFonts w:ascii="Menlo Regular" w:hAnsi="Menlo Regular"/>
          <w:i/>
          <w:color w:val="000000" w:themeColor="text1"/>
          <w:lang w:val="en-US"/>
        </w:rPr>
        <w:t>∀</w:t>
      </w:r>
      <w:r w:rsidRPr="00BD3F27">
        <w:rPr>
          <w:i/>
          <w:color w:val="000000" w:themeColor="text1"/>
          <w:lang w:val="en-US"/>
        </w:rPr>
        <w:t xml:space="preserve"> </w:t>
      </w:r>
      <w:proofErr w:type="gramStart"/>
      <w:r w:rsidRPr="00BD3F27">
        <w:rPr>
          <w:i/>
          <w:color w:val="000000" w:themeColor="text1"/>
          <w:lang w:val="en-US"/>
        </w:rPr>
        <w:t>S</w:t>
      </w:r>
      <w:r w:rsidRPr="00BD3F27">
        <w:rPr>
          <w:i/>
          <w:color w:val="000000" w:themeColor="text1"/>
          <w:vertAlign w:val="subscript"/>
          <w:lang w:val="en-US"/>
        </w:rPr>
        <w:t xml:space="preserve">i </w:t>
      </w:r>
      <w:r w:rsidRPr="00BD3F27">
        <w:rPr>
          <w:i/>
          <w:color w:val="000000" w:themeColor="text1"/>
          <w:lang w:val="en-US"/>
        </w:rPr>
        <w:t>,</w:t>
      </w:r>
      <w:proofErr w:type="spellStart"/>
      <w:r w:rsidRPr="00BD3F27">
        <w:rPr>
          <w:i/>
          <w:color w:val="000000" w:themeColor="text1"/>
          <w:lang w:val="en-US"/>
        </w:rPr>
        <w:t>S</w:t>
      </w:r>
      <w:r w:rsidRPr="00BD3F27">
        <w:rPr>
          <w:i/>
          <w:color w:val="000000" w:themeColor="text1"/>
          <w:vertAlign w:val="subscript"/>
          <w:lang w:val="en-US"/>
        </w:rPr>
        <w:t>j</w:t>
      </w:r>
      <w:proofErr w:type="spellEnd"/>
      <w:proofErr w:type="gramEnd"/>
      <w:r w:rsidRPr="00BD3F27">
        <w:rPr>
          <w:i/>
          <w:color w:val="000000" w:themeColor="text1"/>
          <w:vertAlign w:val="subscript"/>
          <w:lang w:val="en-US"/>
        </w:rPr>
        <w:t xml:space="preserve"> </w:t>
      </w:r>
      <w:r w:rsidRPr="00BD3F27">
        <w:rPr>
          <w:i/>
          <w:color w:val="000000" w:themeColor="text1"/>
          <w:lang w:val="en-US"/>
        </w:rPr>
        <w:t xml:space="preserve"> </w:t>
      </w:r>
      <w:r w:rsidRPr="00BD3F27">
        <w:rPr>
          <w:rFonts w:hAnsi="Menlo Regular"/>
          <w:i/>
          <w:color w:val="000000" w:themeColor="text1"/>
          <w:lang w:val="en-US"/>
        </w:rPr>
        <w:t>∈</w:t>
      </w:r>
      <w:r w:rsidRPr="00BD3F27">
        <w:rPr>
          <w:i/>
          <w:color w:val="000000" w:themeColor="text1"/>
          <w:lang w:val="en-US"/>
        </w:rPr>
        <w:t xml:space="preserve"> S</w:t>
      </w:r>
      <w:r w:rsidRPr="00BD3F27">
        <w:rPr>
          <w:i/>
          <w:color w:val="000000" w:themeColor="text1"/>
          <w:lang w:val="en-US"/>
        </w:rPr>
        <w:tab/>
      </w:r>
    </w:p>
    <w:p w:rsidR="001417E0" w:rsidRPr="00BD3F27" w:rsidRDefault="001417E0" w:rsidP="001417E0">
      <w:pPr>
        <w:spacing w:line="480" w:lineRule="auto"/>
        <w:jc w:val="both"/>
        <w:rPr>
          <w:i/>
          <w:color w:val="000000" w:themeColor="text1"/>
          <w:lang w:val="en-US"/>
        </w:rPr>
      </w:pPr>
      <w:r w:rsidRPr="00BD3F27">
        <w:rPr>
          <w:rFonts w:hAnsi="Menlo Regular"/>
          <w:i/>
          <w:color w:val="000000" w:themeColor="text1"/>
          <w:lang w:val="en-US"/>
        </w:rPr>
        <w:t>∃</w:t>
      </w:r>
      <w:r w:rsidRPr="00BD3F27">
        <w:rPr>
          <w:i/>
          <w:color w:val="000000" w:themeColor="text1"/>
          <w:lang w:val="en-US"/>
        </w:rPr>
        <w:t xml:space="preserve"> </w:t>
      </w:r>
      <w:proofErr w:type="spellStart"/>
      <w:r w:rsidRPr="00BD3F27">
        <w:rPr>
          <w:i/>
          <w:color w:val="000000" w:themeColor="text1"/>
          <w:lang w:val="en-US"/>
        </w:rPr>
        <w:t>E</w:t>
      </w:r>
      <w:r w:rsidRPr="00BD3F27">
        <w:rPr>
          <w:i/>
          <w:color w:val="000000" w:themeColor="text1"/>
          <w:vertAlign w:val="subscript"/>
          <w:lang w:val="en-US"/>
        </w:rPr>
        <w:t>ij</w:t>
      </w:r>
      <w:proofErr w:type="spellEnd"/>
      <w:r w:rsidRPr="00BD3F27">
        <w:rPr>
          <w:i/>
          <w:color w:val="000000" w:themeColor="text1"/>
          <w:lang w:val="en-US"/>
        </w:rPr>
        <w:t xml:space="preserve"> </w:t>
      </w:r>
      <w:r w:rsidRPr="00BD3F27">
        <w:rPr>
          <w:rFonts w:hAnsi="Menlo Regular"/>
          <w:i/>
          <w:color w:val="000000" w:themeColor="text1"/>
          <w:lang w:val="en-US"/>
        </w:rPr>
        <w:t>∈</w:t>
      </w:r>
      <w:r w:rsidRPr="00BD3F27">
        <w:rPr>
          <w:i/>
          <w:color w:val="000000" w:themeColor="text1"/>
          <w:lang w:val="en-US"/>
        </w:rPr>
        <w:t xml:space="preserve"> E    </w:t>
      </w:r>
      <w:proofErr w:type="gramStart"/>
      <w:r w:rsidRPr="00BD3F27">
        <w:rPr>
          <w:i/>
          <w:color w:val="000000" w:themeColor="text1"/>
          <w:lang w:val="en-US"/>
        </w:rPr>
        <w:t>I(</w:t>
      </w:r>
      <w:proofErr w:type="spellStart"/>
      <w:proofErr w:type="gramEnd"/>
      <w:r w:rsidRPr="00BD3F27">
        <w:rPr>
          <w:i/>
          <w:color w:val="000000" w:themeColor="text1"/>
          <w:lang w:val="en-US"/>
        </w:rPr>
        <w:t>G</w:t>
      </w:r>
      <w:r w:rsidRPr="00BD3F27">
        <w:rPr>
          <w:i/>
          <w:color w:val="000000" w:themeColor="text1"/>
          <w:vertAlign w:val="subscript"/>
          <w:lang w:val="en-US"/>
        </w:rPr>
        <w:t>i</w:t>
      </w:r>
      <w:r w:rsidRPr="00BD3F27">
        <w:rPr>
          <w:i/>
          <w:color w:val="000000" w:themeColor="text1"/>
          <w:lang w:val="en-US"/>
        </w:rPr>
        <w:t>,G</w:t>
      </w:r>
      <w:r w:rsidRPr="00BD3F27">
        <w:rPr>
          <w:i/>
          <w:color w:val="000000" w:themeColor="text1"/>
          <w:vertAlign w:val="subscript"/>
          <w:lang w:val="en-US"/>
        </w:rPr>
        <w:t>j</w:t>
      </w:r>
      <w:proofErr w:type="spellEnd"/>
      <w:r w:rsidRPr="00BD3F27">
        <w:rPr>
          <w:i/>
          <w:color w:val="000000" w:themeColor="text1"/>
          <w:lang w:val="en-US"/>
        </w:rPr>
        <w:t xml:space="preserve">) &gt; </w:t>
      </w:r>
      <w:proofErr w:type="spellStart"/>
      <w:r w:rsidRPr="00BD3F27">
        <w:rPr>
          <w:i/>
          <w:color w:val="000000" w:themeColor="text1"/>
          <w:lang w:val="en-US"/>
        </w:rPr>
        <w:t>i</w:t>
      </w:r>
      <w:r w:rsidRPr="00BD3F27">
        <w:rPr>
          <w:i/>
          <w:color w:val="000000" w:themeColor="text1"/>
          <w:vertAlign w:val="subscript"/>
          <w:lang w:val="en-US"/>
        </w:rPr>
        <w:t>min</w:t>
      </w:r>
      <w:proofErr w:type="spellEnd"/>
      <w:r w:rsidRPr="00BD3F27">
        <w:rPr>
          <w:i/>
          <w:color w:val="000000" w:themeColor="text1"/>
          <w:lang w:val="en-US"/>
        </w:rPr>
        <w:t xml:space="preserve"> </w:t>
      </w:r>
    </w:p>
    <w:p w:rsidR="001417E0" w:rsidRPr="00BD3F27" w:rsidRDefault="001417E0" w:rsidP="001417E0">
      <w:pPr>
        <w:spacing w:line="480" w:lineRule="auto"/>
        <w:jc w:val="both"/>
        <w:rPr>
          <w:i/>
          <w:color w:val="000000" w:themeColor="text1"/>
          <w:lang w:val="en-US"/>
        </w:rPr>
      </w:pPr>
      <w:proofErr w:type="spellStart"/>
      <w:r w:rsidRPr="00BD3F27">
        <w:rPr>
          <w:i/>
          <w:color w:val="000000" w:themeColor="text1"/>
          <w:lang w:val="en-US"/>
        </w:rPr>
        <w:t>ReturnSet</w:t>
      </w:r>
      <w:proofErr w:type="spellEnd"/>
      <w:r w:rsidRPr="00BD3F27">
        <w:rPr>
          <w:i/>
          <w:color w:val="000000" w:themeColor="text1"/>
          <w:lang w:val="en-US"/>
        </w:rPr>
        <w:t xml:space="preserve"> </w:t>
      </w:r>
      <w:r w:rsidRPr="00BD3F27">
        <w:rPr>
          <w:rFonts w:hAnsi="Menlo Regular"/>
          <w:i/>
          <w:color w:val="000000" w:themeColor="text1"/>
          <w:lang w:val="en-US"/>
        </w:rPr>
        <w:t>⊂</w:t>
      </w:r>
      <w:r w:rsidRPr="00BD3F27">
        <w:rPr>
          <w:i/>
          <w:color w:val="000000" w:themeColor="text1"/>
          <w:lang w:val="en-US"/>
        </w:rPr>
        <w:t xml:space="preserve"> S: set of nodes in returned clique </w:t>
      </w:r>
    </w:p>
    <w:p w:rsidR="001417E0" w:rsidRPr="00BD3F27" w:rsidRDefault="001417E0" w:rsidP="001417E0">
      <w:pPr>
        <w:spacing w:line="480" w:lineRule="auto"/>
        <w:jc w:val="both"/>
        <w:rPr>
          <w:i/>
          <w:color w:val="000000" w:themeColor="text1"/>
          <w:lang w:val="en-US"/>
        </w:rPr>
      </w:pPr>
      <w:proofErr w:type="spellStart"/>
      <w:r w:rsidRPr="00BD3F27">
        <w:rPr>
          <w:i/>
          <w:color w:val="000000" w:themeColor="text1"/>
          <w:lang w:val="en-US"/>
        </w:rPr>
        <w:t>CandSet</w:t>
      </w:r>
      <w:proofErr w:type="spellEnd"/>
      <w:r w:rsidRPr="00BD3F27">
        <w:rPr>
          <w:i/>
          <w:color w:val="000000" w:themeColor="text1"/>
          <w:lang w:val="en-US"/>
        </w:rPr>
        <w:t xml:space="preserve"> </w:t>
      </w:r>
      <w:r w:rsidRPr="00BD3F27">
        <w:rPr>
          <w:rFonts w:hAnsi="Menlo Regular"/>
          <w:i/>
          <w:color w:val="000000" w:themeColor="text1"/>
          <w:lang w:val="en-US"/>
        </w:rPr>
        <w:t>⊂</w:t>
      </w:r>
      <w:r w:rsidRPr="00BD3F27">
        <w:rPr>
          <w:i/>
          <w:color w:val="000000" w:themeColor="text1"/>
          <w:lang w:val="en-US"/>
        </w:rPr>
        <w:t xml:space="preserve"> S</w:t>
      </w:r>
      <w:r w:rsidRPr="00BD3F27">
        <w:rPr>
          <w:i/>
          <w:color w:val="000000" w:themeColor="text1"/>
          <w:lang w:val="en-US"/>
        </w:rPr>
        <w:tab/>
      </w:r>
    </w:p>
    <w:p w:rsidR="001417E0" w:rsidRPr="00BD3F27" w:rsidRDefault="001417E0" w:rsidP="001417E0">
      <w:pPr>
        <w:spacing w:line="480" w:lineRule="auto"/>
        <w:jc w:val="both"/>
        <w:rPr>
          <w:i/>
          <w:color w:val="000000" w:themeColor="text1"/>
          <w:lang w:val="en-US"/>
        </w:rPr>
      </w:pPr>
      <w:r w:rsidRPr="00BD3F27">
        <w:rPr>
          <w:rFonts w:hAnsi="Menlo Regular"/>
          <w:i/>
          <w:color w:val="000000" w:themeColor="text1"/>
          <w:lang w:val="en-US"/>
        </w:rPr>
        <w:t>∅</w:t>
      </w:r>
      <w:r w:rsidRPr="00BD3F27">
        <w:rPr>
          <w:i/>
          <w:color w:val="000000" w:themeColor="text1"/>
          <w:lang w:val="en-US"/>
        </w:rPr>
        <w:t xml:space="preserve"> ← </w:t>
      </w:r>
      <w:proofErr w:type="spellStart"/>
      <w:r w:rsidRPr="00BD3F27">
        <w:rPr>
          <w:i/>
          <w:color w:val="000000" w:themeColor="text1"/>
          <w:lang w:val="en-US"/>
        </w:rPr>
        <w:t>CandSet</w:t>
      </w:r>
      <w:proofErr w:type="spellEnd"/>
      <w:r w:rsidRPr="00BD3F27">
        <w:rPr>
          <w:i/>
          <w:color w:val="000000" w:themeColor="text1"/>
          <w:lang w:val="en-US"/>
        </w:rPr>
        <w:t xml:space="preserve"> </w:t>
      </w:r>
    </w:p>
    <w:p w:rsidR="001417E0" w:rsidRPr="00BD3F27" w:rsidRDefault="001417E0" w:rsidP="001417E0">
      <w:pPr>
        <w:spacing w:line="480" w:lineRule="auto"/>
        <w:jc w:val="both"/>
        <w:rPr>
          <w:i/>
          <w:color w:val="000000" w:themeColor="text1"/>
          <w:lang w:val="en-US"/>
        </w:rPr>
      </w:pPr>
      <w:proofErr w:type="spellStart"/>
      <w:r w:rsidRPr="00BD3F27">
        <w:rPr>
          <w:i/>
          <w:color w:val="000000" w:themeColor="text1"/>
          <w:lang w:val="en-US"/>
        </w:rPr>
        <w:t>TempSet</w:t>
      </w:r>
      <w:proofErr w:type="spellEnd"/>
      <w:r w:rsidRPr="00BD3F27">
        <w:rPr>
          <w:i/>
          <w:color w:val="000000" w:themeColor="text1"/>
          <w:lang w:val="en-US"/>
        </w:rPr>
        <w:t xml:space="preserve"> </w:t>
      </w:r>
      <w:r w:rsidRPr="00BD3F27">
        <w:rPr>
          <w:rFonts w:hAnsi="Menlo Regular"/>
          <w:i/>
          <w:color w:val="000000" w:themeColor="text1"/>
          <w:lang w:val="en-US"/>
        </w:rPr>
        <w:t>⊂</w:t>
      </w:r>
      <w:r w:rsidRPr="00BD3F27">
        <w:rPr>
          <w:i/>
          <w:color w:val="000000" w:themeColor="text1"/>
          <w:lang w:val="en-US"/>
        </w:rPr>
        <w:t xml:space="preserve"> S</w:t>
      </w:r>
    </w:p>
    <w:p w:rsidR="001417E0" w:rsidRPr="00BD3F27" w:rsidRDefault="001417E0" w:rsidP="001417E0">
      <w:pPr>
        <w:spacing w:line="480" w:lineRule="auto"/>
        <w:jc w:val="both"/>
        <w:rPr>
          <w:i/>
          <w:color w:val="000000" w:themeColor="text1"/>
          <w:lang w:val="en-US"/>
        </w:rPr>
      </w:pPr>
      <w:r w:rsidRPr="00BD3F27">
        <w:rPr>
          <w:rFonts w:hAnsi="Menlo Regular"/>
          <w:i/>
          <w:color w:val="000000" w:themeColor="text1"/>
          <w:lang w:val="en-US"/>
        </w:rPr>
        <w:t>∅</w:t>
      </w:r>
      <w:r w:rsidRPr="00BD3F27">
        <w:rPr>
          <w:i/>
          <w:color w:val="000000" w:themeColor="text1"/>
          <w:lang w:val="en-US"/>
        </w:rPr>
        <w:t xml:space="preserve"> ← </w:t>
      </w:r>
      <w:proofErr w:type="spellStart"/>
      <w:r w:rsidRPr="00BD3F27">
        <w:rPr>
          <w:i/>
          <w:color w:val="000000" w:themeColor="text1"/>
          <w:lang w:val="en-US"/>
        </w:rPr>
        <w:t>TempSet</w:t>
      </w:r>
      <w:proofErr w:type="spellEnd"/>
    </w:p>
    <w:p w:rsidR="001417E0" w:rsidRPr="00BD3F27" w:rsidRDefault="001417E0" w:rsidP="001417E0">
      <w:pPr>
        <w:spacing w:line="480" w:lineRule="auto"/>
        <w:jc w:val="both"/>
        <w:rPr>
          <w:i/>
          <w:color w:val="000000" w:themeColor="text1"/>
          <w:lang w:val="en-US"/>
        </w:rPr>
      </w:pPr>
      <w:r w:rsidRPr="00BD3F27">
        <w:rPr>
          <w:i/>
          <w:color w:val="000000" w:themeColor="text1"/>
          <w:lang w:val="en-US"/>
        </w:rPr>
        <w:t xml:space="preserve"> </w:t>
      </w:r>
      <w:proofErr w:type="spellStart"/>
      <w:r w:rsidRPr="00BD3F27">
        <w:rPr>
          <w:i/>
          <w:color w:val="000000" w:themeColor="text1"/>
          <w:lang w:val="en-US"/>
        </w:rPr>
        <w:t>S</w:t>
      </w:r>
      <w:r w:rsidRPr="00BD3F27">
        <w:rPr>
          <w:i/>
          <w:color w:val="000000" w:themeColor="text1"/>
          <w:vertAlign w:val="subscript"/>
          <w:lang w:val="en-US"/>
        </w:rPr>
        <w:t>j</w:t>
      </w:r>
      <w:proofErr w:type="spellEnd"/>
      <w:r w:rsidRPr="00BD3F27">
        <w:rPr>
          <w:i/>
          <w:color w:val="000000" w:themeColor="text1"/>
          <w:lang w:val="en-US"/>
        </w:rPr>
        <w:t xml:space="preserve"> ← </w:t>
      </w:r>
      <w:proofErr w:type="spellStart"/>
      <w:proofErr w:type="gramStart"/>
      <w:r w:rsidRPr="00BD3F27">
        <w:rPr>
          <w:i/>
          <w:color w:val="000000" w:themeColor="text1"/>
          <w:lang w:val="en-US"/>
        </w:rPr>
        <w:t>ReturnSet</w:t>
      </w:r>
      <w:proofErr w:type="spellEnd"/>
      <w:r w:rsidRPr="00BD3F27">
        <w:rPr>
          <w:i/>
          <w:color w:val="000000" w:themeColor="text1"/>
          <w:lang w:val="en-US"/>
        </w:rPr>
        <w:t xml:space="preserve">  </w:t>
      </w:r>
      <w:proofErr w:type="spellStart"/>
      <w:r w:rsidRPr="00BD3F27">
        <w:rPr>
          <w:i/>
          <w:color w:val="000000" w:themeColor="text1"/>
          <w:lang w:val="en-US"/>
        </w:rPr>
        <w:t>S</w:t>
      </w:r>
      <w:r w:rsidRPr="00BD3F27">
        <w:rPr>
          <w:i/>
          <w:color w:val="000000" w:themeColor="text1"/>
          <w:vertAlign w:val="subscript"/>
          <w:lang w:val="en-US"/>
        </w:rPr>
        <w:t>j</w:t>
      </w:r>
      <w:proofErr w:type="spellEnd"/>
      <w:proofErr w:type="gramEnd"/>
      <w:r w:rsidRPr="00BD3F27">
        <w:rPr>
          <w:i/>
          <w:color w:val="000000" w:themeColor="text1"/>
          <w:lang w:val="en-US"/>
        </w:rPr>
        <w:t xml:space="preserve"> </w:t>
      </w:r>
      <w:r w:rsidRPr="00BD3F27">
        <w:rPr>
          <w:rFonts w:hAnsi="Menlo Regular"/>
          <w:i/>
          <w:color w:val="000000" w:themeColor="text1"/>
          <w:lang w:val="en-US"/>
        </w:rPr>
        <w:t>∈</w:t>
      </w:r>
      <w:r w:rsidRPr="00BD3F27">
        <w:rPr>
          <w:i/>
          <w:color w:val="000000" w:themeColor="text1"/>
          <w:lang w:val="en-US"/>
        </w:rPr>
        <w:t xml:space="preserve"> is a hub node</w:t>
      </w:r>
    </w:p>
    <w:p w:rsidR="001417E0" w:rsidRPr="00BD3F27" w:rsidRDefault="001417E0" w:rsidP="00141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themeColor="text1"/>
          <w:lang w:val="en-US"/>
        </w:rPr>
      </w:pPr>
      <w:proofErr w:type="spellStart"/>
      <w:r w:rsidRPr="00BD3F27">
        <w:rPr>
          <w:i/>
          <w:color w:val="000000" w:themeColor="text1"/>
          <w:lang w:val="en-US"/>
        </w:rPr>
        <w:t>CandSet</w:t>
      </w:r>
      <w:proofErr w:type="spellEnd"/>
      <w:r w:rsidRPr="00BD3F27">
        <w:rPr>
          <w:i/>
          <w:color w:val="000000" w:themeColor="text1"/>
          <w:lang w:val="en-US"/>
        </w:rPr>
        <w:t xml:space="preserve"> ← {S</w:t>
      </w:r>
      <w:r w:rsidRPr="00BD3F27">
        <w:rPr>
          <w:i/>
          <w:color w:val="000000" w:themeColor="text1"/>
          <w:vertAlign w:val="subscript"/>
          <w:lang w:val="en-US"/>
        </w:rPr>
        <w:t>i</w:t>
      </w:r>
      <w:r w:rsidRPr="00BD3F27">
        <w:rPr>
          <w:i/>
          <w:color w:val="000000" w:themeColor="text1"/>
          <w:lang w:val="en-US"/>
        </w:rPr>
        <w:t xml:space="preserve"> </w:t>
      </w:r>
      <w:r w:rsidRPr="00BD3F27">
        <w:rPr>
          <w:rFonts w:hAnsi="Menlo Regular"/>
          <w:i/>
          <w:color w:val="000000" w:themeColor="text1"/>
          <w:lang w:val="en-US"/>
        </w:rPr>
        <w:t>∈</w:t>
      </w:r>
      <w:r w:rsidRPr="00BD3F27">
        <w:rPr>
          <w:i/>
          <w:color w:val="000000" w:themeColor="text1"/>
          <w:lang w:val="en-US"/>
        </w:rPr>
        <w:t xml:space="preserve"> S   </w:t>
      </w:r>
      <w:r w:rsidRPr="00BD3F27">
        <w:rPr>
          <w:rFonts w:hAnsi="Menlo Regular"/>
          <w:i/>
          <w:color w:val="000000" w:themeColor="text1"/>
          <w:lang w:val="en-US"/>
        </w:rPr>
        <w:t>∀</w:t>
      </w:r>
      <w:r w:rsidRPr="00BD3F27">
        <w:rPr>
          <w:i/>
          <w:color w:val="000000" w:themeColor="text1"/>
          <w:lang w:val="en-US"/>
        </w:rPr>
        <w:t>S</w:t>
      </w:r>
      <w:r w:rsidRPr="00BD3F27">
        <w:rPr>
          <w:i/>
          <w:color w:val="000000" w:themeColor="text1"/>
          <w:vertAlign w:val="subscript"/>
          <w:lang w:val="en-US"/>
        </w:rPr>
        <w:t>i</w:t>
      </w:r>
      <w:r w:rsidRPr="00BD3F27">
        <w:rPr>
          <w:i/>
          <w:color w:val="000000" w:themeColor="text1"/>
          <w:lang w:val="en-US"/>
        </w:rPr>
        <w:t xml:space="preserve"> </w:t>
      </w:r>
      <w:proofErr w:type="spellStart"/>
      <w:r w:rsidRPr="00BD3F27">
        <w:rPr>
          <w:i/>
          <w:color w:val="000000" w:themeColor="text1"/>
          <w:lang w:val="en-US"/>
        </w:rPr>
        <w:t>neighbour</w:t>
      </w:r>
      <w:proofErr w:type="spellEnd"/>
      <w:r w:rsidRPr="00BD3F27">
        <w:rPr>
          <w:i/>
          <w:color w:val="000000" w:themeColor="text1"/>
          <w:lang w:val="en-US"/>
        </w:rPr>
        <w:t xml:space="preserve"> of </w:t>
      </w:r>
      <w:proofErr w:type="spellStart"/>
      <w:proofErr w:type="gramStart"/>
      <w:r w:rsidRPr="00BD3F27">
        <w:rPr>
          <w:i/>
          <w:color w:val="000000" w:themeColor="text1"/>
          <w:lang w:val="en-US"/>
        </w:rPr>
        <w:t>S</w:t>
      </w:r>
      <w:r w:rsidRPr="00BD3F27">
        <w:rPr>
          <w:i/>
          <w:color w:val="000000" w:themeColor="text1"/>
          <w:vertAlign w:val="subscript"/>
          <w:lang w:val="en-US"/>
        </w:rPr>
        <w:t>j</w:t>
      </w:r>
      <w:proofErr w:type="spellEnd"/>
      <w:r w:rsidRPr="00BD3F27">
        <w:rPr>
          <w:i/>
          <w:color w:val="000000" w:themeColor="text1"/>
          <w:lang w:val="en-US"/>
        </w:rPr>
        <w:t xml:space="preserve"> }</w:t>
      </w:r>
      <w:proofErr w:type="gramEnd"/>
      <w:r w:rsidRPr="00BD3F27">
        <w:rPr>
          <w:i/>
          <w:color w:val="000000" w:themeColor="text1"/>
          <w:lang w:val="en-US"/>
        </w:rPr>
        <w:t xml:space="preserve"> </w:t>
      </w:r>
    </w:p>
    <w:p w:rsidR="001417E0" w:rsidRPr="00BD3F27" w:rsidRDefault="001417E0" w:rsidP="00141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themeColor="text1"/>
          <w:lang w:val="en-US"/>
        </w:rPr>
      </w:pPr>
      <w:proofErr w:type="gramStart"/>
      <w:r w:rsidRPr="00BD3F27">
        <w:rPr>
          <w:i/>
          <w:color w:val="000000" w:themeColor="text1"/>
          <w:lang w:val="en-US"/>
        </w:rPr>
        <w:t>while</w:t>
      </w:r>
      <w:proofErr w:type="gramEnd"/>
      <w:r w:rsidRPr="00BD3F27">
        <w:rPr>
          <w:i/>
          <w:color w:val="000000" w:themeColor="text1"/>
          <w:lang w:val="en-US"/>
        </w:rPr>
        <w:t xml:space="preserve"> </w:t>
      </w:r>
      <w:proofErr w:type="spellStart"/>
      <w:r w:rsidRPr="00BD3F27">
        <w:rPr>
          <w:i/>
          <w:color w:val="000000" w:themeColor="text1"/>
          <w:lang w:val="en-US"/>
        </w:rPr>
        <w:t>CandSet</w:t>
      </w:r>
      <w:proofErr w:type="spellEnd"/>
      <w:r w:rsidRPr="00BD3F27">
        <w:rPr>
          <w:i/>
          <w:color w:val="000000" w:themeColor="text1"/>
          <w:lang w:val="en-US"/>
        </w:rPr>
        <w:t xml:space="preserve">  </w:t>
      </w:r>
      <w:r w:rsidRPr="00BD3F27">
        <w:rPr>
          <w:i/>
          <w:color w:val="000000" w:themeColor="text1"/>
          <w:lang w:val="en-US"/>
        </w:rPr>
        <w:sym w:font="Symbol" w:char="F0B9"/>
      </w:r>
      <w:r w:rsidRPr="00BD3F27">
        <w:rPr>
          <w:i/>
          <w:color w:val="000000" w:themeColor="text1"/>
          <w:lang w:val="en-US"/>
        </w:rPr>
        <w:t xml:space="preserve"> </w:t>
      </w:r>
      <w:r w:rsidRPr="00BD3F27">
        <w:rPr>
          <w:rFonts w:hAnsi="Menlo Regular"/>
          <w:i/>
          <w:color w:val="000000" w:themeColor="text1"/>
          <w:lang w:val="en-US"/>
        </w:rPr>
        <w:t>∅</w:t>
      </w:r>
      <w:r w:rsidRPr="00BD3F27">
        <w:rPr>
          <w:i/>
          <w:color w:val="000000" w:themeColor="text1"/>
          <w:lang w:val="en-US"/>
        </w:rPr>
        <w:t xml:space="preserve"> do</w:t>
      </w:r>
    </w:p>
    <w:p w:rsidR="001417E0" w:rsidRPr="00BD3F27" w:rsidRDefault="001417E0" w:rsidP="00141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themeColor="text1"/>
          <w:lang w:val="en-US"/>
        </w:rPr>
      </w:pPr>
      <w:r w:rsidRPr="00BD3F27">
        <w:rPr>
          <w:i/>
          <w:color w:val="000000" w:themeColor="text1"/>
          <w:lang w:val="en-US"/>
        </w:rPr>
        <w:t xml:space="preserve">  </w:t>
      </w:r>
      <w:r w:rsidRPr="00BD3F27">
        <w:rPr>
          <w:rFonts w:hAnsi="Menlo Regular"/>
          <w:i/>
          <w:color w:val="000000" w:themeColor="text1"/>
          <w:lang w:val="en-US"/>
        </w:rPr>
        <w:t>∀</w:t>
      </w:r>
      <w:r w:rsidRPr="00BD3F27">
        <w:rPr>
          <w:i/>
          <w:color w:val="000000" w:themeColor="text1"/>
          <w:lang w:val="en-US"/>
        </w:rPr>
        <w:t>S</w:t>
      </w:r>
      <w:r w:rsidRPr="00BD3F27">
        <w:rPr>
          <w:i/>
          <w:color w:val="000000" w:themeColor="text1"/>
          <w:vertAlign w:val="subscript"/>
          <w:lang w:val="en-US"/>
        </w:rPr>
        <w:t>i</w:t>
      </w:r>
      <w:r w:rsidRPr="00BD3F27">
        <w:rPr>
          <w:i/>
          <w:color w:val="000000" w:themeColor="text1"/>
          <w:lang w:val="en-US"/>
        </w:rPr>
        <w:t xml:space="preserve"> </w:t>
      </w:r>
      <w:r w:rsidRPr="00BD3F27">
        <w:rPr>
          <w:rFonts w:hAnsi="Menlo Regular"/>
          <w:i/>
          <w:color w:val="000000" w:themeColor="text1"/>
          <w:lang w:val="en-US"/>
        </w:rPr>
        <w:t>∈</w:t>
      </w:r>
      <w:r w:rsidRPr="00BD3F27">
        <w:rPr>
          <w:i/>
          <w:color w:val="000000" w:themeColor="text1"/>
          <w:lang w:val="en-US"/>
        </w:rPr>
        <w:t xml:space="preserve"> </w:t>
      </w:r>
      <w:proofErr w:type="spellStart"/>
      <w:r w:rsidRPr="00BD3F27">
        <w:rPr>
          <w:i/>
          <w:color w:val="000000" w:themeColor="text1"/>
          <w:lang w:val="en-US"/>
        </w:rPr>
        <w:t>CandSet</w:t>
      </w:r>
      <w:proofErr w:type="spellEnd"/>
      <w:r w:rsidRPr="00BD3F27">
        <w:rPr>
          <w:i/>
          <w:color w:val="000000" w:themeColor="text1"/>
          <w:lang w:val="en-US"/>
        </w:rPr>
        <w:t xml:space="preserve"> define </w:t>
      </w:r>
      <w:proofErr w:type="spellStart"/>
      <w:proofErr w:type="gramStart"/>
      <w:r w:rsidRPr="00BD3F27">
        <w:rPr>
          <w:i/>
          <w:color w:val="000000" w:themeColor="text1"/>
          <w:lang w:val="en-US"/>
        </w:rPr>
        <w:t>n</w:t>
      </w:r>
      <w:r w:rsidRPr="00BD3F27">
        <w:rPr>
          <w:i/>
          <w:color w:val="000000" w:themeColor="text1"/>
          <w:vertAlign w:val="subscript"/>
          <w:lang w:val="en-US"/>
        </w:rPr>
        <w:t>i</w:t>
      </w:r>
      <w:proofErr w:type="spellEnd"/>
      <w:proofErr w:type="gramEnd"/>
      <w:r w:rsidRPr="00BD3F27">
        <w:rPr>
          <w:i/>
          <w:color w:val="000000" w:themeColor="text1"/>
          <w:lang w:val="en-US"/>
        </w:rPr>
        <w:t xml:space="preserve"> (number of </w:t>
      </w:r>
      <w:proofErr w:type="spellStart"/>
      <w:r w:rsidRPr="00BD3F27">
        <w:rPr>
          <w:i/>
          <w:color w:val="000000" w:themeColor="text1"/>
          <w:lang w:val="en-US"/>
        </w:rPr>
        <w:t>neighbours</w:t>
      </w:r>
      <w:proofErr w:type="spellEnd"/>
      <w:r w:rsidRPr="00BD3F27">
        <w:rPr>
          <w:i/>
          <w:color w:val="000000" w:themeColor="text1"/>
          <w:lang w:val="en-US"/>
        </w:rPr>
        <w:t>) &amp; p</w:t>
      </w:r>
      <w:r w:rsidRPr="00BD3F27">
        <w:rPr>
          <w:i/>
          <w:color w:val="000000" w:themeColor="text1"/>
          <w:vertAlign w:val="subscript"/>
          <w:lang w:val="en-US"/>
        </w:rPr>
        <w:t>i</w:t>
      </w:r>
      <w:r w:rsidRPr="00BD3F27">
        <w:rPr>
          <w:i/>
          <w:color w:val="000000" w:themeColor="text1"/>
          <w:lang w:val="en-US"/>
        </w:rPr>
        <w:t xml:space="preserve"> = (</w:t>
      </w:r>
      <w:proofErr w:type="spellStart"/>
      <w:r w:rsidRPr="00BD3F27">
        <w:rPr>
          <w:i/>
          <w:color w:val="000000" w:themeColor="text1"/>
          <w:lang w:val="en-US"/>
        </w:rPr>
        <w:t>ni</w:t>
      </w:r>
      <w:proofErr w:type="spellEnd"/>
      <w:r w:rsidRPr="00BD3F27">
        <w:rPr>
          <w:i/>
          <w:color w:val="000000" w:themeColor="text1"/>
          <w:lang w:val="en-US"/>
        </w:rPr>
        <w:t xml:space="preserve"> / </w:t>
      </w:r>
      <w:r w:rsidRPr="00BD3F27">
        <w:rPr>
          <w:i/>
          <w:color w:val="000000" w:themeColor="text1"/>
          <w:lang w:val="en-US"/>
        </w:rPr>
        <w:sym w:font="Symbol" w:char="F0E5"/>
      </w:r>
      <w:proofErr w:type="spellStart"/>
      <w:r w:rsidRPr="00BD3F27">
        <w:rPr>
          <w:i/>
          <w:color w:val="000000" w:themeColor="text1"/>
          <w:lang w:val="en-US"/>
        </w:rPr>
        <w:t>n</w:t>
      </w:r>
      <w:r w:rsidRPr="00BD3F27">
        <w:rPr>
          <w:i/>
          <w:color w:val="000000" w:themeColor="text1"/>
          <w:vertAlign w:val="subscript"/>
          <w:lang w:val="en-US"/>
        </w:rPr>
        <w:t>i</w:t>
      </w:r>
      <w:proofErr w:type="spellEnd"/>
      <w:r w:rsidRPr="00BD3F27">
        <w:rPr>
          <w:i/>
          <w:color w:val="000000" w:themeColor="text1"/>
          <w:lang w:val="en-US"/>
        </w:rPr>
        <w:t>)</w:t>
      </w:r>
    </w:p>
    <w:p w:rsidR="001417E0" w:rsidRPr="00BD3F27" w:rsidRDefault="001417E0" w:rsidP="00141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themeColor="text1"/>
          <w:vertAlign w:val="subscript"/>
          <w:lang w:val="en-US"/>
        </w:rPr>
      </w:pPr>
      <w:r w:rsidRPr="00BD3F27">
        <w:rPr>
          <w:i/>
          <w:color w:val="000000" w:themeColor="text1"/>
          <w:lang w:val="en-US"/>
        </w:rPr>
        <w:t xml:space="preserve">   Select </w:t>
      </w:r>
      <w:proofErr w:type="spellStart"/>
      <w:proofErr w:type="gramStart"/>
      <w:r w:rsidRPr="00BD3F27">
        <w:rPr>
          <w:i/>
          <w:color w:val="000000" w:themeColor="text1"/>
          <w:lang w:val="en-US"/>
        </w:rPr>
        <w:t>Sk</w:t>
      </w:r>
      <w:proofErr w:type="spellEnd"/>
      <w:proofErr w:type="gramEnd"/>
      <w:r w:rsidRPr="00BD3F27">
        <w:rPr>
          <w:i/>
          <w:color w:val="000000" w:themeColor="text1"/>
          <w:lang w:val="en-US"/>
        </w:rPr>
        <w:t xml:space="preserve"> </w:t>
      </w:r>
      <w:r w:rsidRPr="00BD3F27">
        <w:rPr>
          <w:rFonts w:hAnsi="Menlo Regular"/>
          <w:i/>
          <w:color w:val="000000" w:themeColor="text1"/>
          <w:lang w:val="en-US"/>
        </w:rPr>
        <w:t>∈</w:t>
      </w:r>
      <w:r w:rsidRPr="00BD3F27">
        <w:rPr>
          <w:i/>
          <w:color w:val="000000" w:themeColor="text1"/>
          <w:lang w:val="en-US"/>
        </w:rPr>
        <w:t xml:space="preserve"> </w:t>
      </w:r>
      <w:proofErr w:type="spellStart"/>
      <w:r w:rsidRPr="00BD3F27">
        <w:rPr>
          <w:i/>
          <w:color w:val="000000" w:themeColor="text1"/>
          <w:lang w:val="en-US"/>
        </w:rPr>
        <w:t>CandSet</w:t>
      </w:r>
      <w:proofErr w:type="spellEnd"/>
      <w:r w:rsidRPr="00BD3F27">
        <w:rPr>
          <w:i/>
          <w:color w:val="000000" w:themeColor="text1"/>
          <w:lang w:val="en-US"/>
        </w:rPr>
        <w:t xml:space="preserve"> with probability </w:t>
      </w:r>
      <w:proofErr w:type="spellStart"/>
      <w:r w:rsidRPr="00BD3F27">
        <w:rPr>
          <w:i/>
          <w:color w:val="000000" w:themeColor="text1"/>
          <w:lang w:val="en-US"/>
        </w:rPr>
        <w:t>p</w:t>
      </w:r>
      <w:r w:rsidRPr="00BD3F27">
        <w:rPr>
          <w:i/>
          <w:color w:val="000000" w:themeColor="text1"/>
          <w:vertAlign w:val="subscript"/>
          <w:lang w:val="en-US"/>
        </w:rPr>
        <w:t>k</w:t>
      </w:r>
      <w:proofErr w:type="spellEnd"/>
    </w:p>
    <w:p w:rsidR="001417E0" w:rsidRPr="00BD3F27" w:rsidRDefault="001417E0" w:rsidP="00141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themeColor="text1"/>
          <w:lang w:val="en-US"/>
        </w:rPr>
      </w:pPr>
      <w:r w:rsidRPr="00BD3F27">
        <w:rPr>
          <w:i/>
          <w:color w:val="000000" w:themeColor="text1"/>
          <w:vertAlign w:val="subscript"/>
          <w:lang w:val="en-US"/>
        </w:rPr>
        <w:t xml:space="preserve">   </w:t>
      </w:r>
      <w:r w:rsidRPr="00BD3F27">
        <w:rPr>
          <w:i/>
          <w:color w:val="000000" w:themeColor="text1"/>
          <w:lang w:val="en-US"/>
        </w:rPr>
        <w:t xml:space="preserve"> Insert </w:t>
      </w:r>
      <w:proofErr w:type="spellStart"/>
      <w:proofErr w:type="gramStart"/>
      <w:r w:rsidRPr="00BD3F27">
        <w:rPr>
          <w:i/>
          <w:color w:val="000000" w:themeColor="text1"/>
          <w:lang w:val="en-US"/>
        </w:rPr>
        <w:t>S</w:t>
      </w:r>
      <w:r w:rsidRPr="00BD3F27">
        <w:rPr>
          <w:i/>
          <w:color w:val="000000" w:themeColor="text1"/>
          <w:vertAlign w:val="subscript"/>
          <w:lang w:val="en-US"/>
        </w:rPr>
        <w:t>k</w:t>
      </w:r>
      <w:proofErr w:type="spellEnd"/>
      <w:proofErr w:type="gramEnd"/>
      <w:r w:rsidRPr="00BD3F27">
        <w:rPr>
          <w:i/>
          <w:color w:val="000000" w:themeColor="text1"/>
          <w:lang w:val="en-US"/>
        </w:rPr>
        <w:t xml:space="preserve"> in </w:t>
      </w:r>
      <w:proofErr w:type="spellStart"/>
      <w:r w:rsidRPr="00BD3F27">
        <w:rPr>
          <w:i/>
          <w:color w:val="000000" w:themeColor="text1"/>
          <w:lang w:val="en-US"/>
        </w:rPr>
        <w:t>ReturnSet</w:t>
      </w:r>
      <w:proofErr w:type="spellEnd"/>
    </w:p>
    <w:p w:rsidR="001417E0" w:rsidRPr="00BD3F27" w:rsidRDefault="001417E0" w:rsidP="00141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themeColor="text1"/>
          <w:lang w:val="en-US"/>
        </w:rPr>
      </w:pPr>
      <w:r w:rsidRPr="00BD3F27">
        <w:rPr>
          <w:i/>
          <w:color w:val="000000" w:themeColor="text1"/>
          <w:lang w:val="en-US"/>
        </w:rPr>
        <w:t xml:space="preserve">   </w:t>
      </w:r>
      <w:proofErr w:type="spellStart"/>
      <w:r w:rsidRPr="00BD3F27">
        <w:rPr>
          <w:i/>
          <w:color w:val="000000" w:themeColor="text1"/>
          <w:lang w:val="en-US"/>
        </w:rPr>
        <w:t>TempSet</w:t>
      </w:r>
      <w:proofErr w:type="spellEnd"/>
      <w:r w:rsidRPr="00BD3F27">
        <w:rPr>
          <w:i/>
          <w:color w:val="000000" w:themeColor="text1"/>
          <w:lang w:val="en-US"/>
        </w:rPr>
        <w:t xml:space="preserve"> ← {</w:t>
      </w:r>
      <w:proofErr w:type="spellStart"/>
      <w:r w:rsidRPr="00BD3F27">
        <w:rPr>
          <w:i/>
          <w:color w:val="000000" w:themeColor="text1"/>
          <w:lang w:val="en-US"/>
        </w:rPr>
        <w:t>S</w:t>
      </w:r>
      <w:r w:rsidRPr="00BD3F27">
        <w:rPr>
          <w:i/>
          <w:color w:val="000000" w:themeColor="text1"/>
          <w:vertAlign w:val="subscript"/>
          <w:lang w:val="en-US"/>
        </w:rPr>
        <w:t>m</w:t>
      </w:r>
      <w:proofErr w:type="spellEnd"/>
      <w:r w:rsidRPr="00BD3F27">
        <w:rPr>
          <w:i/>
          <w:color w:val="000000" w:themeColor="text1"/>
          <w:lang w:val="en-US"/>
        </w:rPr>
        <w:t xml:space="preserve"> </w:t>
      </w:r>
      <w:r w:rsidRPr="00BD3F27">
        <w:rPr>
          <w:rFonts w:hAnsi="Menlo Regular"/>
          <w:i/>
          <w:color w:val="000000" w:themeColor="text1"/>
          <w:lang w:val="en-US"/>
        </w:rPr>
        <w:t>∈</w:t>
      </w:r>
      <w:r w:rsidRPr="00BD3F27">
        <w:rPr>
          <w:i/>
          <w:color w:val="000000" w:themeColor="text1"/>
          <w:lang w:val="en-US"/>
        </w:rPr>
        <w:t xml:space="preserve"> S</w:t>
      </w:r>
      <w:r w:rsidRPr="00BD3F27">
        <w:rPr>
          <w:i/>
          <w:color w:val="000000" w:themeColor="text1"/>
          <w:lang w:val="en-US"/>
        </w:rPr>
        <w:tab/>
      </w:r>
      <w:r w:rsidRPr="00BD3F27">
        <w:rPr>
          <w:rFonts w:hAnsi="Menlo Regular"/>
          <w:i/>
          <w:color w:val="000000" w:themeColor="text1"/>
          <w:lang w:val="en-US"/>
        </w:rPr>
        <w:t>∀</w:t>
      </w:r>
      <w:proofErr w:type="spellStart"/>
      <w:r w:rsidRPr="00BD3F27">
        <w:rPr>
          <w:i/>
          <w:color w:val="000000" w:themeColor="text1"/>
          <w:lang w:val="en-US"/>
        </w:rPr>
        <w:t>S</w:t>
      </w:r>
      <w:r w:rsidRPr="00BD3F27">
        <w:rPr>
          <w:i/>
          <w:color w:val="000000" w:themeColor="text1"/>
          <w:vertAlign w:val="subscript"/>
          <w:lang w:val="en-US"/>
        </w:rPr>
        <w:t>m</w:t>
      </w:r>
      <w:proofErr w:type="spellEnd"/>
      <w:r w:rsidRPr="00BD3F27">
        <w:rPr>
          <w:i/>
          <w:color w:val="000000" w:themeColor="text1"/>
          <w:lang w:val="en-US"/>
        </w:rPr>
        <w:t xml:space="preserve"> neighbor of </w:t>
      </w:r>
      <w:proofErr w:type="spellStart"/>
      <w:proofErr w:type="gramStart"/>
      <w:r w:rsidRPr="00BD3F27">
        <w:rPr>
          <w:i/>
          <w:color w:val="000000" w:themeColor="text1"/>
          <w:lang w:val="en-US"/>
        </w:rPr>
        <w:t>S</w:t>
      </w:r>
      <w:r w:rsidRPr="00BD3F27">
        <w:rPr>
          <w:i/>
          <w:color w:val="000000" w:themeColor="text1"/>
          <w:vertAlign w:val="subscript"/>
          <w:lang w:val="en-US"/>
        </w:rPr>
        <w:t>k</w:t>
      </w:r>
      <w:proofErr w:type="spellEnd"/>
      <w:proofErr w:type="gramEnd"/>
      <w:r w:rsidRPr="00BD3F27">
        <w:rPr>
          <w:i/>
          <w:color w:val="000000" w:themeColor="text1"/>
          <w:lang w:val="en-US"/>
        </w:rPr>
        <w:t xml:space="preserve"> &amp; </w:t>
      </w:r>
      <w:proofErr w:type="spellStart"/>
      <w:r w:rsidRPr="00BD3F27">
        <w:rPr>
          <w:i/>
          <w:color w:val="000000" w:themeColor="text1"/>
          <w:lang w:val="en-US"/>
        </w:rPr>
        <w:t>S</w:t>
      </w:r>
      <w:r w:rsidRPr="00BD3F27">
        <w:rPr>
          <w:i/>
          <w:color w:val="000000" w:themeColor="text1"/>
          <w:vertAlign w:val="subscript"/>
          <w:lang w:val="en-US"/>
        </w:rPr>
        <w:t>m</w:t>
      </w:r>
      <w:proofErr w:type="spellEnd"/>
      <w:r w:rsidRPr="00BD3F27">
        <w:rPr>
          <w:i/>
          <w:color w:val="000000" w:themeColor="text1"/>
          <w:lang w:val="en-US"/>
        </w:rPr>
        <w:t xml:space="preserve">  </w:t>
      </w:r>
      <w:r w:rsidRPr="00BD3F27">
        <w:rPr>
          <w:i/>
          <w:color w:val="000000" w:themeColor="text1"/>
          <w:lang w:val="en-US"/>
        </w:rPr>
        <w:sym w:font="Symbol" w:char="F0CB"/>
      </w:r>
      <w:r w:rsidRPr="00BD3F27">
        <w:rPr>
          <w:i/>
          <w:color w:val="000000" w:themeColor="text1"/>
          <w:lang w:val="en-US"/>
        </w:rPr>
        <w:t xml:space="preserve">  </w:t>
      </w:r>
      <w:proofErr w:type="spellStart"/>
      <w:r w:rsidRPr="00BD3F27">
        <w:rPr>
          <w:i/>
          <w:color w:val="000000" w:themeColor="text1"/>
          <w:lang w:val="en-US"/>
        </w:rPr>
        <w:t>ReturnSet</w:t>
      </w:r>
      <w:proofErr w:type="spellEnd"/>
      <w:r w:rsidRPr="00BD3F27">
        <w:rPr>
          <w:i/>
          <w:color w:val="000000" w:themeColor="text1"/>
          <w:lang w:val="en-US"/>
        </w:rPr>
        <w:t xml:space="preserve">}  </w:t>
      </w:r>
    </w:p>
    <w:p w:rsidR="001417E0" w:rsidRPr="00BD3F27" w:rsidRDefault="001417E0" w:rsidP="00141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themeColor="text1"/>
          <w:lang w:val="en-US"/>
        </w:rPr>
      </w:pPr>
      <w:r w:rsidRPr="00BD3F27">
        <w:rPr>
          <w:i/>
          <w:color w:val="000000" w:themeColor="text1"/>
          <w:lang w:val="en-US"/>
        </w:rPr>
        <w:t xml:space="preserve">   </w:t>
      </w:r>
      <w:proofErr w:type="spellStart"/>
      <w:r w:rsidRPr="00BD3F27">
        <w:rPr>
          <w:i/>
          <w:color w:val="000000" w:themeColor="text1"/>
          <w:lang w:val="en-US"/>
        </w:rPr>
        <w:t>CandSet</w:t>
      </w:r>
      <w:proofErr w:type="spellEnd"/>
      <w:r w:rsidRPr="00BD3F27">
        <w:rPr>
          <w:i/>
          <w:color w:val="000000" w:themeColor="text1"/>
          <w:lang w:val="en-US"/>
        </w:rPr>
        <w:t xml:space="preserve"> ← (</w:t>
      </w:r>
      <w:proofErr w:type="spellStart"/>
      <w:r w:rsidRPr="00BD3F27">
        <w:rPr>
          <w:i/>
          <w:color w:val="000000" w:themeColor="text1"/>
          <w:lang w:val="en-US"/>
        </w:rPr>
        <w:t>CandSet</w:t>
      </w:r>
      <w:proofErr w:type="spellEnd"/>
      <w:r w:rsidRPr="00BD3F27">
        <w:rPr>
          <w:i/>
          <w:color w:val="000000" w:themeColor="text1"/>
          <w:lang w:val="en-US"/>
        </w:rPr>
        <w:t xml:space="preserve"> ∩ </w:t>
      </w:r>
      <w:proofErr w:type="spellStart"/>
      <w:r w:rsidRPr="00BD3F27">
        <w:rPr>
          <w:i/>
          <w:color w:val="000000" w:themeColor="text1"/>
          <w:lang w:val="en-US"/>
        </w:rPr>
        <w:t>TempSet</w:t>
      </w:r>
      <w:proofErr w:type="spellEnd"/>
      <w:r w:rsidRPr="00BD3F27">
        <w:rPr>
          <w:i/>
          <w:color w:val="000000" w:themeColor="text1"/>
          <w:lang w:val="en-US"/>
        </w:rPr>
        <w:t xml:space="preserve">) </w:t>
      </w:r>
    </w:p>
    <w:p w:rsidR="001417E0" w:rsidRPr="00BD3F27" w:rsidRDefault="001417E0" w:rsidP="00141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themeColor="text1"/>
          <w:lang w:val="en-US"/>
        </w:rPr>
      </w:pPr>
      <w:r w:rsidRPr="00BD3F27">
        <w:rPr>
          <w:i/>
          <w:color w:val="000000" w:themeColor="text1"/>
          <w:lang w:val="en-US"/>
        </w:rPr>
        <w:t xml:space="preserve">  </w:t>
      </w:r>
      <w:proofErr w:type="spellStart"/>
      <w:r w:rsidRPr="00BD3F27">
        <w:rPr>
          <w:i/>
          <w:color w:val="000000" w:themeColor="text1"/>
          <w:lang w:val="en-US"/>
        </w:rPr>
        <w:t>TempSet</w:t>
      </w:r>
      <w:proofErr w:type="spellEnd"/>
      <w:r w:rsidRPr="00BD3F27">
        <w:rPr>
          <w:i/>
          <w:color w:val="000000" w:themeColor="text1"/>
          <w:lang w:val="en-US"/>
        </w:rPr>
        <w:t xml:space="preserve"> ← </w:t>
      </w:r>
      <w:r w:rsidRPr="00BD3F27">
        <w:rPr>
          <w:rFonts w:hAnsi="Menlo Regular"/>
          <w:i/>
          <w:color w:val="000000" w:themeColor="text1"/>
          <w:lang w:val="en-US"/>
        </w:rPr>
        <w:t>∅</w:t>
      </w:r>
    </w:p>
    <w:p w:rsidR="001417E0" w:rsidRPr="00BD3F27" w:rsidRDefault="001417E0" w:rsidP="00141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themeColor="text1"/>
          <w:lang w:val="en-US"/>
        </w:rPr>
      </w:pPr>
    </w:p>
    <w:p w:rsidR="001417E0" w:rsidRPr="00BD3F27" w:rsidRDefault="001417E0" w:rsidP="001417E0">
      <w:pPr>
        <w:spacing w:line="480" w:lineRule="auto"/>
        <w:jc w:val="both"/>
        <w:rPr>
          <w:i/>
          <w:color w:val="000000" w:themeColor="text1"/>
        </w:rPr>
      </w:pPr>
      <w:r w:rsidRPr="00BD3F27">
        <w:rPr>
          <w:i/>
          <w:color w:val="000000" w:themeColor="text1"/>
          <w:lang w:val="en-US"/>
        </w:rPr>
        <w:t xml:space="preserve">If </w:t>
      </w:r>
      <w:proofErr w:type="spellStart"/>
      <w:r w:rsidRPr="00BD3F27">
        <w:rPr>
          <w:i/>
          <w:color w:val="000000" w:themeColor="text1"/>
          <w:lang w:val="en-US"/>
        </w:rPr>
        <w:t>CandSet</w:t>
      </w:r>
      <w:proofErr w:type="spellEnd"/>
      <w:r w:rsidRPr="00BD3F27">
        <w:rPr>
          <w:i/>
          <w:color w:val="000000" w:themeColor="text1"/>
          <w:lang w:val="en-US"/>
        </w:rPr>
        <w:t xml:space="preserve"> ≡ </w:t>
      </w:r>
      <w:r w:rsidRPr="00BD3F27">
        <w:rPr>
          <w:rFonts w:hAnsi="Menlo Regular"/>
          <w:i/>
          <w:color w:val="000000" w:themeColor="text1"/>
          <w:lang w:val="en-US"/>
        </w:rPr>
        <w:t>∅</w:t>
      </w:r>
      <w:r w:rsidRPr="00BD3F27">
        <w:rPr>
          <w:i/>
          <w:color w:val="000000" w:themeColor="text1"/>
          <w:lang w:val="en-US"/>
        </w:rPr>
        <w:tab/>
        <w:t xml:space="preserve">Return </w:t>
      </w:r>
      <w:proofErr w:type="spellStart"/>
      <w:r w:rsidRPr="00BD3F27">
        <w:rPr>
          <w:i/>
          <w:color w:val="000000" w:themeColor="text1"/>
          <w:lang w:val="en-US"/>
        </w:rPr>
        <w:t>ReturnSet</w:t>
      </w:r>
      <w:proofErr w:type="spellEnd"/>
    </w:p>
    <w:p w:rsidR="00184D76" w:rsidRPr="00BD3F27" w:rsidRDefault="001417E0" w:rsidP="00184D76">
      <w:pPr>
        <w:spacing w:line="480" w:lineRule="auto"/>
        <w:jc w:val="both"/>
        <w:rPr>
          <w:color w:val="000000" w:themeColor="text1"/>
        </w:rPr>
      </w:pPr>
      <w:bookmarkStart w:id="0" w:name="_GoBack"/>
      <w:r w:rsidRPr="00BD3F27">
        <w:rPr>
          <w:color w:val="000000" w:themeColor="text1"/>
        </w:rPr>
        <w:t>The stochastic greedy aspect of the algorithm arise</w:t>
      </w:r>
      <w:r w:rsidR="009536CE" w:rsidRPr="00BD3F27">
        <w:rPr>
          <w:color w:val="000000" w:themeColor="text1"/>
        </w:rPr>
        <w:t xml:space="preserve">s in the first two step of the </w:t>
      </w:r>
      <w:r w:rsidRPr="00BD3F27">
        <w:rPr>
          <w:color w:val="000000" w:themeColor="text1"/>
        </w:rPr>
        <w:t xml:space="preserve">while loop. Thus </w:t>
      </w:r>
      <w:bookmarkEnd w:id="0"/>
      <w:r w:rsidRPr="00BD3F27">
        <w:rPr>
          <w:color w:val="000000" w:themeColor="text1"/>
        </w:rPr>
        <w:t xml:space="preserve">re-running the algorithm from the same starting point can give different values. </w:t>
      </w:r>
    </w:p>
    <w:p w:rsidR="00BA4259" w:rsidRPr="00BD3F27" w:rsidRDefault="004B74E5" w:rsidP="00184D76">
      <w:pPr>
        <w:spacing w:line="480" w:lineRule="auto"/>
        <w:jc w:val="both"/>
        <w:rPr>
          <w:rFonts w:ascii="Arial" w:hAnsi="Arial" w:cs="Arial"/>
          <w:color w:val="000000" w:themeColor="text1"/>
        </w:rPr>
      </w:pPr>
      <w:r w:rsidRPr="00BD3F27">
        <w:rPr>
          <w:rFonts w:ascii="Arial" w:hAnsi="Arial" w:cs="Arial"/>
          <w:b/>
          <w:color w:val="000000" w:themeColor="text1"/>
        </w:rPr>
        <w:br w:type="column"/>
      </w:r>
      <w:r w:rsidR="00BA4259" w:rsidRPr="00BD3F27">
        <w:rPr>
          <w:rFonts w:ascii="Arial" w:hAnsi="Arial" w:cs="Arial"/>
          <w:b/>
          <w:color w:val="000000" w:themeColor="text1"/>
        </w:rPr>
        <w:lastRenderedPageBreak/>
        <w:t xml:space="preserve">RESULTS </w:t>
      </w:r>
    </w:p>
    <w:p w:rsidR="00BA4259" w:rsidRPr="00BD3F27" w:rsidRDefault="00BA4259" w:rsidP="00BA4259">
      <w:pPr>
        <w:rPr>
          <w:rFonts w:ascii="Arial" w:hAnsi="Arial" w:cs="Arial"/>
          <w:color w:val="000000" w:themeColor="text1"/>
        </w:rPr>
      </w:pPr>
    </w:p>
    <w:p w:rsidR="00D12636" w:rsidRPr="00BD3F27" w:rsidRDefault="003744F0" w:rsidP="00D12636">
      <w:pPr>
        <w:spacing w:line="480" w:lineRule="auto"/>
        <w:jc w:val="both"/>
        <w:rPr>
          <w:rFonts w:ascii="Arial" w:hAnsi="Arial" w:cs="Arial"/>
          <w:color w:val="000000" w:themeColor="text1"/>
        </w:rPr>
      </w:pPr>
      <w:r w:rsidRPr="00BD3F27">
        <w:rPr>
          <w:rFonts w:ascii="Arial" w:hAnsi="Arial" w:cs="Arial"/>
          <w:b/>
          <w:color w:val="000000" w:themeColor="text1"/>
        </w:rPr>
        <w:t xml:space="preserve">Summary </w:t>
      </w:r>
    </w:p>
    <w:p w:rsidR="00D12636" w:rsidRPr="00BD3F27" w:rsidRDefault="00D12636" w:rsidP="00D12636">
      <w:pPr>
        <w:spacing w:line="480" w:lineRule="auto"/>
        <w:jc w:val="both"/>
        <w:rPr>
          <w:color w:val="000000" w:themeColor="text1"/>
        </w:rPr>
      </w:pPr>
      <w:r w:rsidRPr="00BD3F27">
        <w:rPr>
          <w:color w:val="000000" w:themeColor="text1"/>
        </w:rPr>
        <w:t xml:space="preserve">Adult male flounders sampled from seven environmental sites were analysed by morphometric parameters, liver histopathology, liver and serum protein and enzyme biomarkers, microsatellite genetic markers, hepatic </w:t>
      </w:r>
      <w:proofErr w:type="spellStart"/>
      <w:r w:rsidRPr="00BD3F27">
        <w:rPr>
          <w:color w:val="000000" w:themeColor="text1"/>
        </w:rPr>
        <w:t>transcriptomics</w:t>
      </w:r>
      <w:proofErr w:type="spellEnd"/>
      <w:r w:rsidRPr="00BD3F27">
        <w:rPr>
          <w:color w:val="000000" w:themeColor="text1"/>
        </w:rPr>
        <w:t xml:space="preserve"> and </w:t>
      </w:r>
      <w:proofErr w:type="spellStart"/>
      <w:r w:rsidRPr="00BD3F27">
        <w:rPr>
          <w:color w:val="000000" w:themeColor="text1"/>
        </w:rPr>
        <w:t>metabolomics</w:t>
      </w:r>
      <w:proofErr w:type="spellEnd"/>
      <w:r w:rsidRPr="00BD3F27">
        <w:rPr>
          <w:color w:val="000000" w:themeColor="text1"/>
        </w:rPr>
        <w:t>, with chemical analyses carried out upon sediment samples and an independent cohort of flounder livers. The result</w:t>
      </w:r>
      <w:r w:rsidR="00D4073F" w:rsidRPr="00BD3F27">
        <w:rPr>
          <w:color w:val="000000" w:themeColor="text1"/>
        </w:rPr>
        <w:t>s obtained are shown in Table 1, S1 and S2</w:t>
      </w:r>
      <w:r w:rsidRPr="00BD3F27">
        <w:rPr>
          <w:color w:val="000000" w:themeColor="text1"/>
        </w:rPr>
        <w:t xml:space="preserve">. Briefly, fish sizes, weights and somatic indices differed between sites (Table 1A). The Tyne, Mersey and </w:t>
      </w:r>
      <w:proofErr w:type="spellStart"/>
      <w:r w:rsidRPr="00BD3F27">
        <w:rPr>
          <w:color w:val="000000" w:themeColor="text1"/>
        </w:rPr>
        <w:t>Brunsbuttel</w:t>
      </w:r>
      <w:proofErr w:type="spellEnd"/>
      <w:r w:rsidRPr="00BD3F27">
        <w:rPr>
          <w:color w:val="000000" w:themeColor="text1"/>
        </w:rPr>
        <w:t xml:space="preserve"> sites showed highest loads of xenobiotic pollutants, Cuxhaven and Helgoland intermediate levels and Morecambe and Alde relatively low levels, however there was considerable diversity in the representation of classes of toxicants, for example Tyne fish livers contained high levels of </w:t>
      </w:r>
      <w:r w:rsidR="00EA1CF5" w:rsidRPr="00BD3F27">
        <w:rPr>
          <w:color w:val="000000" w:themeColor="text1"/>
        </w:rPr>
        <w:t>polycyclic aromatic hydrocarbons (</w:t>
      </w:r>
      <w:r w:rsidRPr="00BD3F27">
        <w:rPr>
          <w:color w:val="000000" w:themeColor="text1"/>
        </w:rPr>
        <w:t>PAHs</w:t>
      </w:r>
      <w:r w:rsidR="00EA1CF5" w:rsidRPr="00BD3F27">
        <w:rPr>
          <w:color w:val="000000" w:themeColor="text1"/>
        </w:rPr>
        <w:t>)</w:t>
      </w:r>
      <w:r w:rsidRPr="00BD3F27">
        <w:rPr>
          <w:color w:val="000000" w:themeColor="text1"/>
        </w:rPr>
        <w:t xml:space="preserve"> but relatively low levels of </w:t>
      </w:r>
      <w:r w:rsidR="00EA1CF5" w:rsidRPr="00BD3F27">
        <w:rPr>
          <w:color w:val="000000" w:themeColor="text1"/>
        </w:rPr>
        <w:t>polychlorinated biphenyls (</w:t>
      </w:r>
      <w:r w:rsidRPr="00BD3F27">
        <w:rPr>
          <w:color w:val="000000" w:themeColor="text1"/>
        </w:rPr>
        <w:t>PCBs</w:t>
      </w:r>
      <w:r w:rsidR="00EA1CF5" w:rsidRPr="00BD3F27">
        <w:rPr>
          <w:color w:val="000000" w:themeColor="text1"/>
        </w:rPr>
        <w:t>)</w:t>
      </w:r>
      <w:r w:rsidRPr="00BD3F27">
        <w:rPr>
          <w:color w:val="000000" w:themeColor="text1"/>
        </w:rPr>
        <w:t xml:space="preserve">, whereas both were high in </w:t>
      </w:r>
      <w:proofErr w:type="spellStart"/>
      <w:r w:rsidRPr="00BD3F27">
        <w:rPr>
          <w:color w:val="000000" w:themeColor="text1"/>
        </w:rPr>
        <w:t>Brunsbuttel</w:t>
      </w:r>
      <w:proofErr w:type="spellEnd"/>
      <w:r w:rsidRPr="00BD3F27">
        <w:rPr>
          <w:color w:val="000000" w:themeColor="text1"/>
        </w:rPr>
        <w:t xml:space="preserve"> fish (Table 1 B to G). Histopathology of UK fish was consistent with these broad levels of pollution and copepod and nematode infection rates were highly site-associated (Table 1H). Serum </w:t>
      </w:r>
      <w:proofErr w:type="spellStart"/>
      <w:r w:rsidR="00EA1CF5" w:rsidRPr="00BD3F27">
        <w:rPr>
          <w:color w:val="000000" w:themeColor="text1"/>
        </w:rPr>
        <w:t>vitellogenin</w:t>
      </w:r>
      <w:proofErr w:type="spellEnd"/>
      <w:r w:rsidR="00EA1CF5" w:rsidRPr="00BD3F27">
        <w:rPr>
          <w:color w:val="000000" w:themeColor="text1"/>
        </w:rPr>
        <w:t xml:space="preserve"> (</w:t>
      </w:r>
      <w:r w:rsidRPr="00BD3F27">
        <w:rPr>
          <w:color w:val="000000" w:themeColor="text1"/>
        </w:rPr>
        <w:t>VTG</w:t>
      </w:r>
      <w:r w:rsidR="00EA1CF5" w:rsidRPr="00BD3F27">
        <w:rPr>
          <w:color w:val="000000" w:themeColor="text1"/>
        </w:rPr>
        <w:t>)</w:t>
      </w:r>
      <w:r w:rsidRPr="00BD3F27">
        <w:rPr>
          <w:color w:val="000000" w:themeColor="text1"/>
        </w:rPr>
        <w:t xml:space="preserve"> was modestly but significantly elevated in </w:t>
      </w:r>
      <w:proofErr w:type="spellStart"/>
      <w:r w:rsidRPr="00BD3F27">
        <w:rPr>
          <w:color w:val="000000" w:themeColor="text1"/>
        </w:rPr>
        <w:t>Brunsbuttel</w:t>
      </w:r>
      <w:proofErr w:type="spellEnd"/>
      <w:r w:rsidRPr="00BD3F27">
        <w:rPr>
          <w:color w:val="000000" w:themeColor="text1"/>
        </w:rPr>
        <w:t xml:space="preserve"> fish, hepatic</w:t>
      </w:r>
      <w:r w:rsidR="00EA1CF5" w:rsidRPr="00BD3F27">
        <w:rPr>
          <w:color w:val="000000" w:themeColor="text1"/>
        </w:rPr>
        <w:t xml:space="preserve"> glutathione </w:t>
      </w:r>
      <w:proofErr w:type="spellStart"/>
      <w:r w:rsidR="00EA1CF5" w:rsidRPr="00BD3F27">
        <w:rPr>
          <w:color w:val="000000" w:themeColor="text1"/>
        </w:rPr>
        <w:t>reductase</w:t>
      </w:r>
      <w:proofErr w:type="spellEnd"/>
      <w:r w:rsidRPr="00BD3F27">
        <w:rPr>
          <w:color w:val="000000" w:themeColor="text1"/>
        </w:rPr>
        <w:t xml:space="preserve"> </w:t>
      </w:r>
      <w:r w:rsidR="00EA1CF5" w:rsidRPr="00BD3F27">
        <w:rPr>
          <w:color w:val="000000" w:themeColor="text1"/>
        </w:rPr>
        <w:t>(</w:t>
      </w:r>
      <w:r w:rsidRPr="00BD3F27">
        <w:rPr>
          <w:color w:val="000000" w:themeColor="text1"/>
        </w:rPr>
        <w:t>GR</w:t>
      </w:r>
      <w:r w:rsidR="00EA1CF5" w:rsidRPr="00BD3F27">
        <w:rPr>
          <w:color w:val="000000" w:themeColor="text1"/>
        </w:rPr>
        <w:t>)</w:t>
      </w:r>
      <w:r w:rsidRPr="00BD3F27">
        <w:rPr>
          <w:color w:val="000000" w:themeColor="text1"/>
        </w:rPr>
        <w:t xml:space="preserve">, </w:t>
      </w:r>
      <w:r w:rsidR="00EA1CF5" w:rsidRPr="00BD3F27">
        <w:rPr>
          <w:color w:val="000000" w:themeColor="text1"/>
        </w:rPr>
        <w:t xml:space="preserve">glutathione </w:t>
      </w:r>
      <w:r w:rsidR="00EA1CF5" w:rsidRPr="00BD3F27">
        <w:rPr>
          <w:i/>
          <w:color w:val="000000" w:themeColor="text1"/>
        </w:rPr>
        <w:t>S</w:t>
      </w:r>
      <w:r w:rsidR="00EA1CF5" w:rsidRPr="00BD3F27">
        <w:rPr>
          <w:color w:val="000000" w:themeColor="text1"/>
        </w:rPr>
        <w:t>-</w:t>
      </w:r>
      <w:proofErr w:type="spellStart"/>
      <w:r w:rsidR="00EA1CF5" w:rsidRPr="00BD3F27">
        <w:rPr>
          <w:color w:val="000000" w:themeColor="text1"/>
        </w:rPr>
        <w:t>transferase</w:t>
      </w:r>
      <w:proofErr w:type="spellEnd"/>
      <w:r w:rsidR="00EA1CF5" w:rsidRPr="00BD3F27">
        <w:rPr>
          <w:color w:val="000000" w:themeColor="text1"/>
        </w:rPr>
        <w:t xml:space="preserve"> (</w:t>
      </w:r>
      <w:r w:rsidRPr="00BD3F27">
        <w:rPr>
          <w:color w:val="000000" w:themeColor="text1"/>
        </w:rPr>
        <w:t>GST</w:t>
      </w:r>
      <w:r w:rsidR="00EA1CF5" w:rsidRPr="00BD3F27">
        <w:rPr>
          <w:color w:val="000000" w:themeColor="text1"/>
        </w:rPr>
        <w:t>)</w:t>
      </w:r>
      <w:r w:rsidRPr="00BD3F27">
        <w:rPr>
          <w:color w:val="000000" w:themeColor="text1"/>
        </w:rPr>
        <w:t xml:space="preserve"> and </w:t>
      </w:r>
      <w:proofErr w:type="spellStart"/>
      <w:r w:rsidR="00EA1CF5" w:rsidRPr="00BD3F27">
        <w:rPr>
          <w:color w:val="000000" w:themeColor="text1"/>
        </w:rPr>
        <w:t>metallothionein</w:t>
      </w:r>
      <w:proofErr w:type="spellEnd"/>
      <w:r w:rsidR="00EA1CF5" w:rsidRPr="00BD3F27">
        <w:rPr>
          <w:color w:val="000000" w:themeColor="text1"/>
        </w:rPr>
        <w:t xml:space="preserve"> (</w:t>
      </w:r>
      <w:r w:rsidRPr="00BD3F27">
        <w:rPr>
          <w:color w:val="000000" w:themeColor="text1"/>
        </w:rPr>
        <w:t>MT</w:t>
      </w:r>
      <w:r w:rsidR="00EA1CF5" w:rsidRPr="00BD3F27">
        <w:rPr>
          <w:color w:val="000000" w:themeColor="text1"/>
        </w:rPr>
        <w:t>)</w:t>
      </w:r>
      <w:r w:rsidRPr="00BD3F27">
        <w:rPr>
          <w:color w:val="000000" w:themeColor="text1"/>
        </w:rPr>
        <w:t xml:space="preserve"> were induced at various polluted sites with elevated heavy metal concentrations, </w:t>
      </w:r>
      <w:proofErr w:type="spellStart"/>
      <w:r w:rsidR="00EA1CF5" w:rsidRPr="00BD3F27">
        <w:rPr>
          <w:color w:val="000000" w:themeColor="text1"/>
        </w:rPr>
        <w:t>ethoxyresorufin</w:t>
      </w:r>
      <w:proofErr w:type="spellEnd"/>
      <w:r w:rsidR="00EA1CF5" w:rsidRPr="00BD3F27">
        <w:rPr>
          <w:color w:val="000000" w:themeColor="text1"/>
        </w:rPr>
        <w:t>-</w:t>
      </w:r>
      <w:r w:rsidR="00EA1CF5" w:rsidRPr="00BD3F27">
        <w:rPr>
          <w:i/>
          <w:color w:val="000000" w:themeColor="text1"/>
        </w:rPr>
        <w:t>o</w:t>
      </w:r>
      <w:r w:rsidR="00EA1CF5" w:rsidRPr="00BD3F27">
        <w:rPr>
          <w:color w:val="000000" w:themeColor="text1"/>
        </w:rPr>
        <w:t>-</w:t>
      </w:r>
      <w:proofErr w:type="spellStart"/>
      <w:r w:rsidR="00EA1CF5" w:rsidRPr="00BD3F27">
        <w:rPr>
          <w:color w:val="000000" w:themeColor="text1"/>
        </w:rPr>
        <w:t>deethylase</w:t>
      </w:r>
      <w:proofErr w:type="spellEnd"/>
      <w:r w:rsidR="00EA1CF5" w:rsidRPr="00BD3F27">
        <w:rPr>
          <w:color w:val="000000" w:themeColor="text1"/>
        </w:rPr>
        <w:t xml:space="preserve"> (</w:t>
      </w:r>
      <w:r w:rsidRPr="00BD3F27">
        <w:rPr>
          <w:color w:val="000000" w:themeColor="text1"/>
        </w:rPr>
        <w:t>EROD</w:t>
      </w:r>
      <w:r w:rsidR="00EA1CF5" w:rsidRPr="00BD3F27">
        <w:rPr>
          <w:color w:val="000000" w:themeColor="text1"/>
        </w:rPr>
        <w:t>)</w:t>
      </w:r>
      <w:r w:rsidRPr="00BD3F27">
        <w:rPr>
          <w:color w:val="000000" w:themeColor="text1"/>
        </w:rPr>
        <w:t xml:space="preserve"> activity reflected both sediment and liver PAH concentrations (Table</w:t>
      </w:r>
      <w:r w:rsidR="00D4073F" w:rsidRPr="00BD3F27">
        <w:rPr>
          <w:color w:val="000000" w:themeColor="text1"/>
        </w:rPr>
        <w:t>s</w:t>
      </w:r>
      <w:r w:rsidRPr="00BD3F27">
        <w:rPr>
          <w:color w:val="000000" w:themeColor="text1"/>
        </w:rPr>
        <w:t xml:space="preserve"> 1I, </w:t>
      </w:r>
      <w:r w:rsidR="00D4073F" w:rsidRPr="00BD3F27">
        <w:rPr>
          <w:color w:val="000000" w:themeColor="text1"/>
        </w:rPr>
        <w:t>S2</w:t>
      </w:r>
      <w:r w:rsidRPr="00BD3F27">
        <w:rPr>
          <w:color w:val="000000" w:themeColor="text1"/>
        </w:rPr>
        <w:t xml:space="preserve">). </w:t>
      </w:r>
      <w:r w:rsidR="009C3D5B" w:rsidRPr="00BD3F27">
        <w:rPr>
          <w:color w:val="000000" w:themeColor="text1"/>
        </w:rPr>
        <w:t xml:space="preserve">Microsatellite markers suggested a weak dichotomy between North Sea and Irish Sea fish. </w:t>
      </w:r>
      <w:r w:rsidRPr="00BD3F27">
        <w:rPr>
          <w:color w:val="000000" w:themeColor="text1"/>
        </w:rPr>
        <w:t xml:space="preserve">Microarray data are available from </w:t>
      </w:r>
      <w:proofErr w:type="spellStart"/>
      <w:r w:rsidRPr="00BD3F27">
        <w:rPr>
          <w:color w:val="000000" w:themeColor="text1"/>
        </w:rPr>
        <w:t>ArrayExpress</w:t>
      </w:r>
      <w:proofErr w:type="spellEnd"/>
      <w:r w:rsidRPr="00BD3F27">
        <w:rPr>
          <w:color w:val="000000" w:themeColor="text1"/>
        </w:rPr>
        <w:t xml:space="preserve"> at EMBL-EBI under accession E-MTAB-396. By ANOVA (FDR&lt;0.05) 629 transcripts and 82 metabolite bins were significantly different between sites, of which 410 and 25 respectively were identifiable (</w:t>
      </w:r>
      <w:r w:rsidR="00D4073F" w:rsidRPr="00BD3F27">
        <w:rPr>
          <w:color w:val="000000" w:themeColor="text1"/>
        </w:rPr>
        <w:t>Table S1</w:t>
      </w:r>
      <w:r w:rsidRPr="00BD3F27">
        <w:rPr>
          <w:color w:val="000000" w:themeColor="text1"/>
        </w:rPr>
        <w:t xml:space="preserve">). Within-site tests showed that morphometric parameters and parasite infections could </w:t>
      </w:r>
      <w:r w:rsidRPr="00BD3F27">
        <w:rPr>
          <w:color w:val="000000" w:themeColor="text1"/>
        </w:rPr>
        <w:lastRenderedPageBreak/>
        <w:t>be significantly associated only with a small proportion (&lt;3%) of the gene expression differences between sites (</w:t>
      </w:r>
      <w:r w:rsidR="00D4073F" w:rsidRPr="00BD3F27">
        <w:rPr>
          <w:color w:val="000000" w:themeColor="text1"/>
        </w:rPr>
        <w:t>Tables S1 and S4).</w:t>
      </w:r>
      <w:r w:rsidRPr="00BD3F27">
        <w:rPr>
          <w:color w:val="000000" w:themeColor="text1"/>
        </w:rPr>
        <w:t xml:space="preserve"> </w:t>
      </w:r>
    </w:p>
    <w:p w:rsidR="00EB3D1B" w:rsidRPr="00BD3F27" w:rsidRDefault="00EB3D1B" w:rsidP="00D12636">
      <w:pPr>
        <w:spacing w:line="480" w:lineRule="auto"/>
        <w:jc w:val="both"/>
        <w:rPr>
          <w:color w:val="000000" w:themeColor="text1"/>
        </w:rPr>
      </w:pPr>
    </w:p>
    <w:p w:rsidR="00BA4259" w:rsidRPr="00BD3F27" w:rsidRDefault="00BA4259" w:rsidP="00BA4259">
      <w:pPr>
        <w:rPr>
          <w:color w:val="000000" w:themeColor="text1"/>
        </w:rPr>
      </w:pPr>
    </w:p>
    <w:p w:rsidR="00BA4259" w:rsidRPr="00BD3F27" w:rsidRDefault="00BA4259" w:rsidP="00BA4259">
      <w:pPr>
        <w:pStyle w:val="Heading1"/>
        <w:spacing w:before="0" w:after="0" w:line="480" w:lineRule="auto"/>
        <w:rPr>
          <w:color w:val="000000" w:themeColor="text1"/>
          <w:sz w:val="24"/>
          <w:szCs w:val="24"/>
        </w:rPr>
      </w:pPr>
      <w:r w:rsidRPr="00BD3F27">
        <w:rPr>
          <w:color w:val="000000" w:themeColor="text1"/>
          <w:sz w:val="24"/>
          <w:szCs w:val="24"/>
        </w:rPr>
        <w:t>a- Fish Sampling</w:t>
      </w:r>
    </w:p>
    <w:p w:rsidR="00184D76" w:rsidRPr="00BD3F27" w:rsidRDefault="00BA4259" w:rsidP="00184D76">
      <w:pPr>
        <w:spacing w:line="480" w:lineRule="auto"/>
        <w:jc w:val="both"/>
        <w:rPr>
          <w:color w:val="000000" w:themeColor="text1"/>
        </w:rPr>
      </w:pPr>
      <w:r w:rsidRPr="00BD3F27">
        <w:rPr>
          <w:color w:val="000000" w:themeColor="text1"/>
        </w:rPr>
        <w:t xml:space="preserve">Data describing the fish sampled are shown in Table 1A. All variables differed significantly between sampling sites. </w:t>
      </w:r>
      <w:proofErr w:type="spellStart"/>
      <w:r w:rsidRPr="00BD3F27">
        <w:rPr>
          <w:color w:val="000000" w:themeColor="text1"/>
        </w:rPr>
        <w:t>Brunsbuttel</w:t>
      </w:r>
      <w:proofErr w:type="spellEnd"/>
      <w:r w:rsidRPr="00BD3F27">
        <w:rPr>
          <w:color w:val="000000" w:themeColor="text1"/>
        </w:rPr>
        <w:t xml:space="preserve"> fish were the </w:t>
      </w:r>
      <w:proofErr w:type="gramStart"/>
      <w:r w:rsidRPr="00BD3F27">
        <w:rPr>
          <w:color w:val="000000" w:themeColor="text1"/>
        </w:rPr>
        <w:t>smallest,</w:t>
      </w:r>
      <w:proofErr w:type="gramEnd"/>
      <w:r w:rsidRPr="00BD3F27">
        <w:rPr>
          <w:color w:val="000000" w:themeColor="text1"/>
        </w:rPr>
        <w:t xml:space="preserve"> with lowest liver weight, gonad weight and</w:t>
      </w:r>
      <w:r w:rsidR="009C3D5B" w:rsidRPr="00BD3F27">
        <w:rPr>
          <w:color w:val="000000" w:themeColor="text1"/>
        </w:rPr>
        <w:t xml:space="preserve"> </w:t>
      </w:r>
      <w:proofErr w:type="spellStart"/>
      <w:r w:rsidR="009C3D5B" w:rsidRPr="00BD3F27">
        <w:rPr>
          <w:color w:val="000000" w:themeColor="text1"/>
        </w:rPr>
        <w:t>gonadosomatic</w:t>
      </w:r>
      <w:proofErr w:type="spellEnd"/>
      <w:r w:rsidR="009C3D5B" w:rsidRPr="00BD3F27">
        <w:rPr>
          <w:color w:val="000000" w:themeColor="text1"/>
        </w:rPr>
        <w:t xml:space="preserve"> index</w:t>
      </w:r>
      <w:r w:rsidRPr="00BD3F27">
        <w:rPr>
          <w:color w:val="000000" w:themeColor="text1"/>
        </w:rPr>
        <w:t xml:space="preserve"> </w:t>
      </w:r>
      <w:r w:rsidR="009C3D5B" w:rsidRPr="00BD3F27">
        <w:rPr>
          <w:color w:val="000000" w:themeColor="text1"/>
        </w:rPr>
        <w:t>(</w:t>
      </w:r>
      <w:r w:rsidRPr="00BD3F27">
        <w:rPr>
          <w:color w:val="000000" w:themeColor="text1"/>
        </w:rPr>
        <w:t>GSI</w:t>
      </w:r>
      <w:r w:rsidR="009C3D5B" w:rsidRPr="00BD3F27">
        <w:rPr>
          <w:color w:val="000000" w:themeColor="text1"/>
        </w:rPr>
        <w:t>)</w:t>
      </w:r>
      <w:r w:rsidRPr="00BD3F27">
        <w:rPr>
          <w:color w:val="000000" w:themeColor="text1"/>
        </w:rPr>
        <w:t xml:space="preserve">, but high condition factor and </w:t>
      </w:r>
      <w:proofErr w:type="spellStart"/>
      <w:r w:rsidR="009C3D5B" w:rsidRPr="00BD3F27">
        <w:rPr>
          <w:color w:val="000000" w:themeColor="text1"/>
        </w:rPr>
        <w:t>hepatosomatic</w:t>
      </w:r>
      <w:proofErr w:type="spellEnd"/>
      <w:r w:rsidR="009C3D5B" w:rsidRPr="00BD3F27">
        <w:rPr>
          <w:color w:val="000000" w:themeColor="text1"/>
        </w:rPr>
        <w:t xml:space="preserve"> index (</w:t>
      </w:r>
      <w:r w:rsidRPr="00BD3F27">
        <w:rPr>
          <w:color w:val="000000" w:themeColor="text1"/>
        </w:rPr>
        <w:t>HSI</w:t>
      </w:r>
      <w:r w:rsidR="009C3D5B" w:rsidRPr="00BD3F27">
        <w:rPr>
          <w:color w:val="000000" w:themeColor="text1"/>
        </w:rPr>
        <w:t>)</w:t>
      </w:r>
      <w:r w:rsidRPr="00BD3F27">
        <w:rPr>
          <w:color w:val="000000" w:themeColor="text1"/>
        </w:rPr>
        <w:t xml:space="preserve">. Mersey and Morecambe Bay fish were the largest. Condition factor was higher for the FRG-sampled fish than the UK-sampled fish, including for groups of comparable length such as Tyne and Helgoland, and was higher amongst Alde and Tyne fish compared with Mersey and Morecambe Bay fish. </w:t>
      </w:r>
    </w:p>
    <w:p w:rsidR="009536CE" w:rsidRPr="00BD3F27" w:rsidRDefault="009536CE" w:rsidP="00184D76">
      <w:pPr>
        <w:spacing w:line="480" w:lineRule="auto"/>
        <w:jc w:val="both"/>
        <w:rPr>
          <w:color w:val="000000" w:themeColor="text1"/>
        </w:rPr>
      </w:pPr>
    </w:p>
    <w:p w:rsidR="00BA4259" w:rsidRPr="00BD3F27" w:rsidRDefault="00BA4259" w:rsidP="00CA1DF5">
      <w:pPr>
        <w:spacing w:line="480" w:lineRule="auto"/>
        <w:jc w:val="both"/>
        <w:rPr>
          <w:rFonts w:ascii="Arial" w:hAnsi="Arial" w:cs="Arial"/>
          <w:b/>
          <w:color w:val="000000" w:themeColor="text1"/>
        </w:rPr>
      </w:pPr>
      <w:r w:rsidRPr="00BD3F27">
        <w:rPr>
          <w:rFonts w:ascii="Arial" w:hAnsi="Arial" w:cs="Arial"/>
          <w:b/>
          <w:color w:val="000000" w:themeColor="text1"/>
        </w:rPr>
        <w:t>b- Chemistry</w:t>
      </w:r>
    </w:p>
    <w:p w:rsidR="00BA4259" w:rsidRPr="00BD3F27" w:rsidRDefault="00BA4259" w:rsidP="00CA1DF5">
      <w:pPr>
        <w:autoSpaceDE w:val="0"/>
        <w:autoSpaceDN w:val="0"/>
        <w:adjustRightInd w:val="0"/>
        <w:spacing w:line="480" w:lineRule="auto"/>
        <w:jc w:val="both"/>
        <w:rPr>
          <w:color w:val="000000" w:themeColor="text1"/>
        </w:rPr>
      </w:pPr>
      <w:r w:rsidRPr="00BD3F27">
        <w:rPr>
          <w:color w:val="000000" w:themeColor="text1"/>
        </w:rPr>
        <w:t>Metal concentrations in sediment and an independent cohort of flounder livers are shown in Tables 1B and 1C respectively. All sites breached lower</w:t>
      </w:r>
      <w:r w:rsidR="00666775" w:rsidRPr="00BD3F27">
        <w:rPr>
          <w:color w:val="000000" w:themeColor="text1"/>
        </w:rPr>
        <w:t xml:space="preserve"> Oslo and Paris Commission</w:t>
      </w:r>
      <w:r w:rsidR="0014192F" w:rsidRPr="00BD3F27">
        <w:rPr>
          <w:rFonts w:eastAsiaTheme="minorHAnsi"/>
          <w:color w:val="000000" w:themeColor="text1"/>
          <w:lang w:val="en-US"/>
        </w:rPr>
        <w:t xml:space="preserve"> </w:t>
      </w:r>
      <w:r w:rsidR="00666775" w:rsidRPr="00BD3F27">
        <w:rPr>
          <w:rFonts w:eastAsiaTheme="minorHAnsi"/>
          <w:color w:val="000000" w:themeColor="text1"/>
          <w:lang w:val="en-US"/>
        </w:rPr>
        <w:t>(</w:t>
      </w:r>
      <w:r w:rsidR="00CA1DF5" w:rsidRPr="00BD3F27">
        <w:rPr>
          <w:rFonts w:eastAsiaTheme="minorHAnsi"/>
          <w:color w:val="000000" w:themeColor="text1"/>
          <w:lang w:val="en-US"/>
        </w:rPr>
        <w:t>OSPAR</w:t>
      </w:r>
      <w:r w:rsidR="00666775" w:rsidRPr="00BD3F27">
        <w:rPr>
          <w:rFonts w:eastAsiaTheme="minorHAnsi"/>
          <w:color w:val="000000" w:themeColor="text1"/>
          <w:lang w:val="en-US"/>
        </w:rPr>
        <w:t>)</w:t>
      </w:r>
      <w:r w:rsidR="00CA1DF5" w:rsidRPr="00BD3F27">
        <w:rPr>
          <w:rFonts w:eastAsiaTheme="minorHAnsi"/>
          <w:color w:val="000000" w:themeColor="text1"/>
          <w:lang w:val="en-US"/>
        </w:rPr>
        <w:t xml:space="preserve"> </w:t>
      </w:r>
      <w:proofErr w:type="spellStart"/>
      <w:r w:rsidR="00CA1DF5" w:rsidRPr="00BD3F27">
        <w:rPr>
          <w:rFonts w:eastAsiaTheme="minorHAnsi"/>
          <w:color w:val="000000" w:themeColor="text1"/>
          <w:lang w:val="en-US"/>
        </w:rPr>
        <w:t>ecotoxicological</w:t>
      </w:r>
      <w:proofErr w:type="spellEnd"/>
      <w:r w:rsidR="00CA1DF5" w:rsidRPr="00BD3F27">
        <w:rPr>
          <w:rFonts w:eastAsiaTheme="minorHAnsi"/>
          <w:color w:val="000000" w:themeColor="text1"/>
          <w:lang w:val="en-US"/>
        </w:rPr>
        <w:t xml:space="preserve"> assessment criteria (EAC) </w:t>
      </w:r>
      <w:r w:rsidR="006403E7" w:rsidRPr="00BD3F27">
        <w:rPr>
          <w:rFonts w:eastAsiaTheme="minorHAnsi"/>
          <w:color w:val="000000" w:themeColor="text1"/>
          <w:lang w:val="en-US"/>
        </w:rPr>
        <w:t>[2]</w:t>
      </w:r>
      <w:r w:rsidR="00CA1DF5" w:rsidRPr="00BD3F27">
        <w:rPr>
          <w:rFonts w:eastAsiaTheme="minorHAnsi"/>
          <w:color w:val="000000" w:themeColor="text1"/>
          <w:lang w:val="en-US"/>
        </w:rPr>
        <w:t xml:space="preserve"> </w:t>
      </w:r>
      <w:r w:rsidRPr="00BD3F27">
        <w:rPr>
          <w:color w:val="000000" w:themeColor="text1"/>
        </w:rPr>
        <w:t xml:space="preserve">for at least one metal, with all except Alde and Morecambe Bay breaching at least one upper EAC limit. Tyne exceeded upper EAC limits for </w:t>
      </w:r>
      <w:proofErr w:type="spellStart"/>
      <w:r w:rsidRPr="00BD3F27">
        <w:rPr>
          <w:color w:val="000000" w:themeColor="text1"/>
        </w:rPr>
        <w:t>Cd</w:t>
      </w:r>
      <w:proofErr w:type="spellEnd"/>
      <w:r w:rsidRPr="00BD3F27">
        <w:rPr>
          <w:color w:val="000000" w:themeColor="text1"/>
        </w:rPr>
        <w:t xml:space="preserve">, </w:t>
      </w:r>
      <w:proofErr w:type="spellStart"/>
      <w:r w:rsidRPr="00BD3F27">
        <w:rPr>
          <w:color w:val="000000" w:themeColor="text1"/>
        </w:rPr>
        <w:t>Pb</w:t>
      </w:r>
      <w:proofErr w:type="spellEnd"/>
      <w:r w:rsidRPr="00BD3F27">
        <w:rPr>
          <w:color w:val="000000" w:themeColor="text1"/>
        </w:rPr>
        <w:t xml:space="preserve"> and Zn, Mersey and </w:t>
      </w:r>
      <w:proofErr w:type="spellStart"/>
      <w:r w:rsidRPr="00BD3F27">
        <w:rPr>
          <w:color w:val="000000" w:themeColor="text1"/>
        </w:rPr>
        <w:t>Brunsbuttel</w:t>
      </w:r>
      <w:proofErr w:type="spellEnd"/>
      <w:r w:rsidRPr="00BD3F27">
        <w:rPr>
          <w:color w:val="000000" w:themeColor="text1"/>
        </w:rPr>
        <w:t xml:space="preserve"> for Hg and </w:t>
      </w:r>
      <w:proofErr w:type="spellStart"/>
      <w:r w:rsidRPr="00BD3F27">
        <w:rPr>
          <w:color w:val="000000" w:themeColor="text1"/>
        </w:rPr>
        <w:t>Pb</w:t>
      </w:r>
      <w:proofErr w:type="spellEnd"/>
      <w:r w:rsidRPr="00BD3F27">
        <w:rPr>
          <w:color w:val="000000" w:themeColor="text1"/>
        </w:rPr>
        <w:t xml:space="preserve">, Helgoland for </w:t>
      </w:r>
      <w:proofErr w:type="spellStart"/>
      <w:r w:rsidRPr="00BD3F27">
        <w:rPr>
          <w:color w:val="000000" w:themeColor="text1"/>
        </w:rPr>
        <w:t>Pb</w:t>
      </w:r>
      <w:proofErr w:type="spellEnd"/>
      <w:r w:rsidRPr="00BD3F27">
        <w:rPr>
          <w:color w:val="000000" w:themeColor="text1"/>
        </w:rPr>
        <w:t xml:space="preserve"> and Cuxhaven for Hg. While there is considerable diversity in the representation of different metals, an overview indicated that Tyne &gt; Mersey &amp; </w:t>
      </w:r>
      <w:proofErr w:type="spellStart"/>
      <w:r w:rsidRPr="00BD3F27">
        <w:rPr>
          <w:color w:val="000000" w:themeColor="text1"/>
        </w:rPr>
        <w:t>Brunsbuttel</w:t>
      </w:r>
      <w:proofErr w:type="spellEnd"/>
      <w:r w:rsidRPr="00BD3F27">
        <w:rPr>
          <w:color w:val="000000" w:themeColor="text1"/>
        </w:rPr>
        <w:t xml:space="preserve"> &gt; Helgoland &amp; Cuxhaven &gt; Morecambe Bay &gt; Alde in terms of metal concentrations. The partial data set for fish liver metals showed a comparable level of contamination in Alde, Tyne and Mersey fish and, where available, in FRG-sampled fish, although Mersey fish had a particularly high concentration of liver Hg (0.73 mg/kg wet </w:t>
      </w:r>
      <w:r w:rsidRPr="00BD3F27">
        <w:rPr>
          <w:color w:val="000000" w:themeColor="text1"/>
        </w:rPr>
        <w:lastRenderedPageBreak/>
        <w:t>wt.). There was little positive correlation between sediment and fish liver metal concentrations, the only cases with r</w:t>
      </w:r>
      <w:r w:rsidRPr="00BD3F27">
        <w:rPr>
          <w:color w:val="000000" w:themeColor="text1"/>
          <w:vertAlign w:val="superscript"/>
        </w:rPr>
        <w:t>2</w:t>
      </w:r>
      <w:r w:rsidR="00EA1CF5" w:rsidRPr="00BD3F27">
        <w:rPr>
          <w:color w:val="000000" w:themeColor="text1"/>
        </w:rPr>
        <w:t>&gt;0.</w:t>
      </w:r>
      <w:r w:rsidRPr="00BD3F27">
        <w:rPr>
          <w:color w:val="000000" w:themeColor="text1"/>
        </w:rPr>
        <w:t>5 were for Hg (r</w:t>
      </w:r>
      <w:r w:rsidRPr="00BD3F27">
        <w:rPr>
          <w:color w:val="000000" w:themeColor="text1"/>
          <w:vertAlign w:val="superscript"/>
        </w:rPr>
        <w:t>2</w:t>
      </w:r>
      <w:r w:rsidRPr="00BD3F27">
        <w:rPr>
          <w:color w:val="000000" w:themeColor="text1"/>
        </w:rPr>
        <w:t>=0.54) and Ni (r</w:t>
      </w:r>
      <w:r w:rsidRPr="00BD3F27">
        <w:rPr>
          <w:color w:val="000000" w:themeColor="text1"/>
          <w:vertAlign w:val="superscript"/>
        </w:rPr>
        <w:t>2</w:t>
      </w:r>
      <w:r w:rsidRPr="00BD3F27">
        <w:rPr>
          <w:color w:val="000000" w:themeColor="text1"/>
        </w:rPr>
        <w:t>=0.88), though the Ni correlation was based on only three points, therefore being of low significance. Interestingly there was an apparent inverse correlation for Cd (r</w:t>
      </w:r>
      <w:r w:rsidRPr="00BD3F27">
        <w:rPr>
          <w:color w:val="000000" w:themeColor="text1"/>
          <w:vertAlign w:val="superscript"/>
        </w:rPr>
        <w:t>2</w:t>
      </w:r>
      <w:r w:rsidRPr="00BD3F27">
        <w:rPr>
          <w:color w:val="000000" w:themeColor="text1"/>
        </w:rPr>
        <w:t xml:space="preserve">=0.70). </w:t>
      </w:r>
    </w:p>
    <w:p w:rsidR="00BA4259" w:rsidRPr="00BD3F27" w:rsidRDefault="00BA4259" w:rsidP="00BA4259">
      <w:pPr>
        <w:spacing w:line="480" w:lineRule="auto"/>
        <w:jc w:val="both"/>
        <w:rPr>
          <w:color w:val="000000" w:themeColor="text1"/>
        </w:rPr>
      </w:pPr>
    </w:p>
    <w:p w:rsidR="00BA4259" w:rsidRPr="00BD3F27" w:rsidRDefault="00BA4259" w:rsidP="00BA4259">
      <w:pPr>
        <w:spacing w:line="480" w:lineRule="auto"/>
        <w:jc w:val="both"/>
        <w:rPr>
          <w:color w:val="000000" w:themeColor="text1"/>
        </w:rPr>
      </w:pPr>
      <w:r w:rsidRPr="00BD3F27">
        <w:rPr>
          <w:color w:val="000000" w:themeColor="text1"/>
        </w:rPr>
        <w:t xml:space="preserve">PAH concentrations in sediments and flounder livers are shown in Tables 1D and 1E respectively. Sediments at all sites except Alde and Morecambe Bay breached lower EAC limits for at least one PAH, with </w:t>
      </w:r>
      <w:proofErr w:type="spellStart"/>
      <w:r w:rsidRPr="00BD3F27">
        <w:rPr>
          <w:color w:val="000000" w:themeColor="text1"/>
        </w:rPr>
        <w:t>Brunsbuttel</w:t>
      </w:r>
      <w:proofErr w:type="spellEnd"/>
      <w:r w:rsidRPr="00BD3F27">
        <w:rPr>
          <w:color w:val="000000" w:themeColor="text1"/>
        </w:rPr>
        <w:t xml:space="preserve"> breaching one upper EAC limit, Tyne and Mersey breaching four and five respectively. Total PAH concentrations were Tyne &gt; Mersey &gt; </w:t>
      </w:r>
      <w:proofErr w:type="spellStart"/>
      <w:r w:rsidRPr="00BD3F27">
        <w:rPr>
          <w:color w:val="000000" w:themeColor="text1"/>
        </w:rPr>
        <w:t>Brunsbuttel</w:t>
      </w:r>
      <w:proofErr w:type="spellEnd"/>
      <w:r w:rsidRPr="00BD3F27">
        <w:rPr>
          <w:color w:val="000000" w:themeColor="text1"/>
        </w:rPr>
        <w:t xml:space="preserve"> &gt; Helgoland &amp; Cuxhaven &gt; Morecambe Bay &amp; Alde. Flounder liver PAH concentrations were available for Tyne, Mersey and Alde and followed the same pattern (r</w:t>
      </w:r>
      <w:r w:rsidRPr="00BD3F27">
        <w:rPr>
          <w:color w:val="000000" w:themeColor="text1"/>
          <w:vertAlign w:val="superscript"/>
        </w:rPr>
        <w:t>2</w:t>
      </w:r>
      <w:r w:rsidRPr="00BD3F27">
        <w:rPr>
          <w:color w:val="000000" w:themeColor="text1"/>
        </w:rPr>
        <w:t xml:space="preserve">&gt;0.99, three points only). </w:t>
      </w:r>
    </w:p>
    <w:p w:rsidR="00BA4259" w:rsidRPr="00BD3F27" w:rsidRDefault="00BA4259" w:rsidP="00BA4259">
      <w:pPr>
        <w:spacing w:line="480" w:lineRule="auto"/>
        <w:jc w:val="both"/>
        <w:rPr>
          <w:color w:val="000000" w:themeColor="text1"/>
        </w:rPr>
      </w:pPr>
    </w:p>
    <w:p w:rsidR="00BA4259" w:rsidRPr="00BD3F27" w:rsidRDefault="00BA4259" w:rsidP="00BA4259">
      <w:pPr>
        <w:spacing w:line="480" w:lineRule="auto"/>
        <w:jc w:val="both"/>
        <w:rPr>
          <w:color w:val="000000" w:themeColor="text1"/>
        </w:rPr>
      </w:pPr>
      <w:r w:rsidRPr="00BD3F27">
        <w:rPr>
          <w:color w:val="000000" w:themeColor="text1"/>
        </w:rPr>
        <w:t xml:space="preserve">PCB concentrations in sediments and livers are shown in Tables 1F and 1G respectively. Tyne, </w:t>
      </w:r>
      <w:proofErr w:type="spellStart"/>
      <w:r w:rsidRPr="00BD3F27">
        <w:rPr>
          <w:color w:val="000000" w:themeColor="text1"/>
        </w:rPr>
        <w:t>Brunsbuttel</w:t>
      </w:r>
      <w:proofErr w:type="spellEnd"/>
      <w:r w:rsidRPr="00BD3F27">
        <w:rPr>
          <w:color w:val="000000" w:themeColor="text1"/>
        </w:rPr>
        <w:t xml:space="preserve"> and Cuxhaven sediments exceeded lower EAC limits for the sum of ICES 7 </w:t>
      </w:r>
      <w:proofErr w:type="gramStart"/>
      <w:r w:rsidRPr="00BD3F27">
        <w:rPr>
          <w:color w:val="000000" w:themeColor="text1"/>
        </w:rPr>
        <w:t>PCBs,</w:t>
      </w:r>
      <w:proofErr w:type="gramEnd"/>
      <w:r w:rsidRPr="00BD3F27">
        <w:rPr>
          <w:color w:val="000000" w:themeColor="text1"/>
        </w:rPr>
        <w:t xml:space="preserve"> Mersey sediment exceeded the upper EAC limit. Sites were ordered by PCB contamination as Mersey &gt; Tyne &gt; </w:t>
      </w:r>
      <w:proofErr w:type="spellStart"/>
      <w:r w:rsidRPr="00BD3F27">
        <w:rPr>
          <w:color w:val="000000" w:themeColor="text1"/>
        </w:rPr>
        <w:t>Brunsbuttel</w:t>
      </w:r>
      <w:proofErr w:type="spellEnd"/>
      <w:r w:rsidRPr="00BD3F27">
        <w:rPr>
          <w:color w:val="000000" w:themeColor="text1"/>
        </w:rPr>
        <w:t xml:space="preserve"> &gt; Cuxhaven &gt; Helgoland &gt; Alde &amp; Morecambe Bay.  In contrast, in fish liver, </w:t>
      </w:r>
      <w:proofErr w:type="spellStart"/>
      <w:r w:rsidRPr="00BD3F27">
        <w:rPr>
          <w:color w:val="000000" w:themeColor="text1"/>
        </w:rPr>
        <w:t>Brunsbuttel</w:t>
      </w:r>
      <w:proofErr w:type="spellEnd"/>
      <w:r w:rsidRPr="00BD3F27">
        <w:rPr>
          <w:color w:val="000000" w:themeColor="text1"/>
        </w:rPr>
        <w:t xml:space="preserve"> samples showed the highest PCB load, exceeding 1</w:t>
      </w:r>
      <w:r w:rsidRPr="00BD3F27">
        <w:rPr>
          <w:rFonts w:ascii="Symbol" w:hAnsi="Symbol"/>
          <w:color w:val="000000" w:themeColor="text1"/>
        </w:rPr>
        <w:t></w:t>
      </w:r>
      <w:r w:rsidRPr="00BD3F27">
        <w:rPr>
          <w:color w:val="000000" w:themeColor="text1"/>
        </w:rPr>
        <w:t xml:space="preserve">g/kg wet wt. Sediment and fish liver PCB concentrations were not well-correlated. Fish liver samples were ordered </w:t>
      </w:r>
      <w:proofErr w:type="spellStart"/>
      <w:r w:rsidRPr="00BD3F27">
        <w:rPr>
          <w:color w:val="000000" w:themeColor="text1"/>
        </w:rPr>
        <w:t>Brunsbuttel</w:t>
      </w:r>
      <w:proofErr w:type="spellEnd"/>
      <w:r w:rsidRPr="00BD3F27">
        <w:rPr>
          <w:color w:val="000000" w:themeColor="text1"/>
        </w:rPr>
        <w:t xml:space="preserve"> &gt; Cuxhaven &gt; Mersey &gt; Helgoland &gt; Tyne &amp; Morecambe Bay &amp; Alde. </w:t>
      </w:r>
    </w:p>
    <w:p w:rsidR="006403E7" w:rsidRPr="00BD3F27" w:rsidRDefault="006403E7" w:rsidP="00BA4259">
      <w:pPr>
        <w:spacing w:line="480" w:lineRule="auto"/>
        <w:jc w:val="both"/>
        <w:rPr>
          <w:color w:val="000000" w:themeColor="text1"/>
        </w:rPr>
      </w:pPr>
    </w:p>
    <w:p w:rsidR="00BA4259" w:rsidRPr="00BD3F27" w:rsidRDefault="00BA4259" w:rsidP="00BA4259">
      <w:pPr>
        <w:spacing w:line="480" w:lineRule="auto"/>
        <w:jc w:val="both"/>
        <w:rPr>
          <w:color w:val="000000" w:themeColor="text1"/>
        </w:rPr>
      </w:pPr>
      <w:r w:rsidRPr="00BD3F27">
        <w:rPr>
          <w:color w:val="000000" w:themeColor="text1"/>
        </w:rPr>
        <w:lastRenderedPageBreak/>
        <w:t xml:space="preserve">In broad terms, the Tyne, Mersey and </w:t>
      </w:r>
      <w:proofErr w:type="spellStart"/>
      <w:r w:rsidRPr="00BD3F27">
        <w:rPr>
          <w:color w:val="000000" w:themeColor="text1"/>
        </w:rPr>
        <w:t>Brunsbuttel</w:t>
      </w:r>
      <w:proofErr w:type="spellEnd"/>
      <w:r w:rsidRPr="00BD3F27">
        <w:rPr>
          <w:color w:val="000000" w:themeColor="text1"/>
        </w:rPr>
        <w:t xml:space="preserve"> showed high levels of contamination by pollutants, Cuxhaven and Helgoland intermediate levels and Morecambe Bay and Alde relatively low levels. </w:t>
      </w:r>
    </w:p>
    <w:p w:rsidR="00BA4259" w:rsidRPr="00BD3F27" w:rsidRDefault="00BA4259" w:rsidP="00BA4259">
      <w:pPr>
        <w:spacing w:line="480" w:lineRule="auto"/>
        <w:rPr>
          <w:b/>
          <w:color w:val="000000" w:themeColor="text1"/>
        </w:rPr>
      </w:pPr>
    </w:p>
    <w:p w:rsidR="00BA4259" w:rsidRPr="00BD3F27" w:rsidRDefault="00BA4259" w:rsidP="00BA4259">
      <w:pPr>
        <w:spacing w:line="480" w:lineRule="auto"/>
        <w:rPr>
          <w:rFonts w:ascii="Arial" w:hAnsi="Arial" w:cs="Arial"/>
          <w:b/>
          <w:color w:val="000000" w:themeColor="text1"/>
        </w:rPr>
      </w:pPr>
      <w:r w:rsidRPr="00BD3F27">
        <w:rPr>
          <w:rFonts w:ascii="Arial" w:hAnsi="Arial" w:cs="Arial"/>
          <w:b/>
          <w:color w:val="000000" w:themeColor="text1"/>
        </w:rPr>
        <w:t>c- Histopathology</w:t>
      </w:r>
    </w:p>
    <w:p w:rsidR="00BA4259" w:rsidRPr="00BD3F27" w:rsidRDefault="00BA4259" w:rsidP="00BA4259">
      <w:pPr>
        <w:spacing w:line="480" w:lineRule="auto"/>
        <w:jc w:val="both"/>
        <w:rPr>
          <w:color w:val="000000" w:themeColor="text1"/>
        </w:rPr>
      </w:pPr>
      <w:r w:rsidRPr="00BD3F27">
        <w:rPr>
          <w:color w:val="000000" w:themeColor="text1"/>
        </w:rPr>
        <w:t>Histology and histopathology were carried out on UK samples only and data are shown in Table 1H. High numbers of fish were infected by</w:t>
      </w:r>
      <w:r w:rsidRPr="00BD3F27">
        <w:rPr>
          <w:i/>
          <w:color w:val="000000" w:themeColor="text1"/>
        </w:rPr>
        <w:t xml:space="preserve"> </w:t>
      </w:r>
      <w:proofErr w:type="spellStart"/>
      <w:r w:rsidRPr="00BD3F27">
        <w:rPr>
          <w:i/>
          <w:color w:val="000000" w:themeColor="text1"/>
        </w:rPr>
        <w:t>Lepeophtheirus</w:t>
      </w:r>
      <w:proofErr w:type="spellEnd"/>
      <w:r w:rsidRPr="00BD3F27">
        <w:rPr>
          <w:color w:val="000000" w:themeColor="text1"/>
        </w:rPr>
        <w:t xml:space="preserve"> and </w:t>
      </w:r>
      <w:proofErr w:type="spellStart"/>
      <w:r w:rsidRPr="00BD3F27">
        <w:rPr>
          <w:i/>
          <w:color w:val="000000" w:themeColor="text1"/>
        </w:rPr>
        <w:t>Acanthochondria</w:t>
      </w:r>
      <w:proofErr w:type="spellEnd"/>
      <w:r w:rsidRPr="00BD3F27">
        <w:rPr>
          <w:color w:val="000000" w:themeColor="text1"/>
        </w:rPr>
        <w:t xml:space="preserve"> copepod parasites and </w:t>
      </w:r>
      <w:proofErr w:type="spellStart"/>
      <w:r w:rsidRPr="00BD3F27">
        <w:rPr>
          <w:i/>
          <w:color w:val="000000" w:themeColor="text1"/>
        </w:rPr>
        <w:t>Anisakidae</w:t>
      </w:r>
      <w:proofErr w:type="spellEnd"/>
      <w:r w:rsidRPr="00BD3F27">
        <w:rPr>
          <w:color w:val="000000" w:themeColor="text1"/>
        </w:rPr>
        <w:t xml:space="preserve"> nematodes, but there were relatively few infections by </w:t>
      </w:r>
      <w:proofErr w:type="spellStart"/>
      <w:r w:rsidRPr="00BD3F27">
        <w:rPr>
          <w:i/>
          <w:color w:val="000000" w:themeColor="text1"/>
        </w:rPr>
        <w:t>Glugea</w:t>
      </w:r>
      <w:proofErr w:type="spellEnd"/>
      <w:r w:rsidRPr="00BD3F27">
        <w:rPr>
          <w:color w:val="000000" w:themeColor="text1"/>
        </w:rPr>
        <w:t xml:space="preserve"> </w:t>
      </w:r>
      <w:proofErr w:type="spellStart"/>
      <w:r w:rsidRPr="00BD3F27">
        <w:rPr>
          <w:color w:val="000000" w:themeColor="text1"/>
        </w:rPr>
        <w:t>microsporidians</w:t>
      </w:r>
      <w:proofErr w:type="spellEnd"/>
      <w:r w:rsidRPr="00BD3F27">
        <w:rPr>
          <w:color w:val="000000" w:themeColor="text1"/>
        </w:rPr>
        <w:t xml:space="preserve">. The occurrence of copepod infections and nematode infections appeared to be inversely related, copepod infections being particularly prevalent (&gt;70%) at the less polluted Alde and Morecambe Bay sites, with nematode infections more prevalent at the more polluted Tyne and Mersey sites. Liver histopathology of the UK fish showed the highest occurrence of abnormalities in the Mersey samples, </w:t>
      </w:r>
      <w:r w:rsidR="006F2686" w:rsidRPr="00BD3F27">
        <w:rPr>
          <w:color w:val="000000" w:themeColor="text1"/>
        </w:rPr>
        <w:t xml:space="preserve">which included </w:t>
      </w:r>
      <w:r w:rsidRPr="00BD3F27">
        <w:rPr>
          <w:color w:val="000000" w:themeColor="text1"/>
        </w:rPr>
        <w:t xml:space="preserve">the only examples of hepatic tumour-bearing fish, </w:t>
      </w:r>
      <w:r w:rsidR="0075506F" w:rsidRPr="00BD3F27">
        <w:rPr>
          <w:color w:val="000000" w:themeColor="text1"/>
        </w:rPr>
        <w:t xml:space="preserve">one </w:t>
      </w:r>
      <w:r w:rsidR="006F2686" w:rsidRPr="00BD3F27">
        <w:rPr>
          <w:color w:val="000000" w:themeColor="text1"/>
        </w:rPr>
        <w:t xml:space="preserve">fish </w:t>
      </w:r>
      <w:r w:rsidR="0075506F" w:rsidRPr="00BD3F27">
        <w:rPr>
          <w:color w:val="000000" w:themeColor="text1"/>
        </w:rPr>
        <w:t>displayed hepatocellular adenoma and t</w:t>
      </w:r>
      <w:r w:rsidR="006F2686" w:rsidRPr="00BD3F27">
        <w:rPr>
          <w:color w:val="000000" w:themeColor="text1"/>
        </w:rPr>
        <w:t>wo</w:t>
      </w:r>
      <w:r w:rsidR="0075506F" w:rsidRPr="00BD3F27">
        <w:rPr>
          <w:color w:val="000000" w:themeColor="text1"/>
        </w:rPr>
        <w:t xml:space="preserve"> </w:t>
      </w:r>
      <w:proofErr w:type="spellStart"/>
      <w:r w:rsidR="0075506F" w:rsidRPr="00BD3F27">
        <w:rPr>
          <w:color w:val="000000" w:themeColor="text1"/>
        </w:rPr>
        <w:t>hepatocellular</w:t>
      </w:r>
      <w:proofErr w:type="spellEnd"/>
      <w:r w:rsidR="0075506F" w:rsidRPr="00BD3F27">
        <w:rPr>
          <w:color w:val="000000" w:themeColor="text1"/>
        </w:rPr>
        <w:t xml:space="preserve"> </w:t>
      </w:r>
      <w:proofErr w:type="spellStart"/>
      <w:r w:rsidR="0075506F" w:rsidRPr="00BD3F27">
        <w:rPr>
          <w:color w:val="000000" w:themeColor="text1"/>
        </w:rPr>
        <w:t>carcionoma</w:t>
      </w:r>
      <w:proofErr w:type="spellEnd"/>
      <w:r w:rsidR="006F2686" w:rsidRPr="00BD3F27">
        <w:rPr>
          <w:color w:val="000000" w:themeColor="text1"/>
        </w:rPr>
        <w:t xml:space="preserve">. </w:t>
      </w:r>
      <w:r w:rsidRPr="00BD3F27">
        <w:rPr>
          <w:color w:val="000000" w:themeColor="text1"/>
        </w:rPr>
        <w:t xml:space="preserve">Liver abnormalities were detected in 89% of Mersey fish, 75% of Tyne fish, 67% of Morecambe Bay fish and 40% of Alde fish. Liver histopathology was therefore consistent with broad pollution levels. </w:t>
      </w:r>
    </w:p>
    <w:p w:rsidR="00BA4259" w:rsidRPr="00BD3F27" w:rsidRDefault="00BA4259" w:rsidP="00BA4259">
      <w:pPr>
        <w:spacing w:line="480" w:lineRule="auto"/>
        <w:rPr>
          <w:color w:val="000000" w:themeColor="text1"/>
        </w:rPr>
      </w:pPr>
    </w:p>
    <w:p w:rsidR="00BA4259" w:rsidRPr="00BD3F27" w:rsidRDefault="00BA4259" w:rsidP="00BA4259">
      <w:pPr>
        <w:spacing w:line="480" w:lineRule="auto"/>
        <w:rPr>
          <w:rFonts w:ascii="Arial" w:hAnsi="Arial" w:cs="Arial"/>
          <w:b/>
          <w:color w:val="000000" w:themeColor="text1"/>
        </w:rPr>
      </w:pPr>
      <w:r w:rsidRPr="00BD3F27">
        <w:rPr>
          <w:rFonts w:ascii="Arial" w:hAnsi="Arial" w:cs="Arial"/>
          <w:b/>
          <w:color w:val="000000" w:themeColor="text1"/>
        </w:rPr>
        <w:t>d- Biomarker Assays</w:t>
      </w:r>
    </w:p>
    <w:p w:rsidR="00660C2B" w:rsidRPr="00BD3F27" w:rsidRDefault="00BA4259" w:rsidP="002D4666">
      <w:pPr>
        <w:spacing w:line="480" w:lineRule="auto"/>
        <w:jc w:val="both"/>
        <w:rPr>
          <w:color w:val="000000" w:themeColor="text1"/>
        </w:rPr>
      </w:pPr>
      <w:r w:rsidRPr="00BD3F27">
        <w:rPr>
          <w:color w:val="000000" w:themeColor="text1"/>
        </w:rPr>
        <w:t xml:space="preserve">Protein biomarker assays were performed on UK and </w:t>
      </w:r>
      <w:proofErr w:type="spellStart"/>
      <w:r w:rsidRPr="00BD3F27">
        <w:rPr>
          <w:color w:val="000000" w:themeColor="text1"/>
        </w:rPr>
        <w:t>Brunsbuttel</w:t>
      </w:r>
      <w:proofErr w:type="spellEnd"/>
      <w:r w:rsidRPr="00BD3F27">
        <w:rPr>
          <w:color w:val="000000" w:themeColor="text1"/>
        </w:rPr>
        <w:t xml:space="preserve"> fish, shown in Table 1I. All biomarkers significantly differ</w:t>
      </w:r>
      <w:r w:rsidR="00EA1CF5" w:rsidRPr="00BD3F27">
        <w:rPr>
          <w:color w:val="000000" w:themeColor="text1"/>
        </w:rPr>
        <w:t>ed</w:t>
      </w:r>
      <w:r w:rsidRPr="00BD3F27">
        <w:rPr>
          <w:color w:val="000000" w:themeColor="text1"/>
        </w:rPr>
        <w:t xml:space="preserve"> between sites by ANOVA (P&lt;0.05), except VTG. Serum VTG concentrations were generally low, implying that these male fish were not exposed to high concentrations of </w:t>
      </w:r>
      <w:proofErr w:type="spellStart"/>
      <w:r w:rsidRPr="00BD3F27">
        <w:rPr>
          <w:color w:val="000000" w:themeColor="text1"/>
        </w:rPr>
        <w:t>xenoestrogens</w:t>
      </w:r>
      <w:proofErr w:type="spellEnd"/>
      <w:r w:rsidRPr="00BD3F27">
        <w:rPr>
          <w:color w:val="000000" w:themeColor="text1"/>
        </w:rPr>
        <w:t xml:space="preserve">. However, VTG was modestly but significantly (single T-test </w:t>
      </w:r>
      <w:r w:rsidRPr="00BD3F27">
        <w:rPr>
          <w:color w:val="000000" w:themeColor="text1"/>
        </w:rPr>
        <w:lastRenderedPageBreak/>
        <w:t xml:space="preserve">P&lt;0.05) elevated in </w:t>
      </w:r>
      <w:proofErr w:type="spellStart"/>
      <w:r w:rsidRPr="00BD3F27">
        <w:rPr>
          <w:color w:val="000000" w:themeColor="text1"/>
        </w:rPr>
        <w:t>Brunsbuttel</w:t>
      </w:r>
      <w:proofErr w:type="spellEnd"/>
      <w:r w:rsidRPr="00BD3F27">
        <w:rPr>
          <w:color w:val="000000" w:themeColor="text1"/>
        </w:rPr>
        <w:t xml:space="preserve"> fish and very highly induced (&gt;1000-fold versus Alde) in one fish from the Mersey and one fish from Morecambe Bay. One fish from the Mersey and one fish from Morecambe Bay were also classified as intersex by histology, but these did not display elevated serum VTG concentrations. </w:t>
      </w:r>
      <w:r w:rsidR="00DA1AA4" w:rsidRPr="00BD3F27">
        <w:rPr>
          <w:color w:val="000000" w:themeColor="text1"/>
        </w:rPr>
        <w:t xml:space="preserve">GR activity was lowest in Morecambe Bay fish and significantly higher in Tyne fish indicative of exposure to oxidative stressors </w:t>
      </w:r>
      <w:r w:rsidR="006403E7" w:rsidRPr="00BD3F27">
        <w:rPr>
          <w:color w:val="000000" w:themeColor="text1"/>
        </w:rPr>
        <w:t>[3]</w:t>
      </w:r>
      <w:r w:rsidR="006D7D38" w:rsidRPr="00BD3F27">
        <w:rPr>
          <w:color w:val="000000" w:themeColor="text1"/>
        </w:rPr>
        <w:t xml:space="preserve"> and indeed</w:t>
      </w:r>
      <w:r w:rsidRPr="00BD3F27">
        <w:rPr>
          <w:color w:val="000000" w:themeColor="text1"/>
        </w:rPr>
        <w:t xml:space="preserve"> correlated well with liver Ni (r</w:t>
      </w:r>
      <w:r w:rsidRPr="00BD3F27">
        <w:rPr>
          <w:color w:val="000000" w:themeColor="text1"/>
          <w:vertAlign w:val="superscript"/>
        </w:rPr>
        <w:t>2</w:t>
      </w:r>
      <w:r w:rsidRPr="00BD3F27">
        <w:rPr>
          <w:color w:val="000000" w:themeColor="text1"/>
        </w:rPr>
        <w:t>=0.81)</w:t>
      </w:r>
      <w:r w:rsidR="006D7D38" w:rsidRPr="00BD3F27">
        <w:rPr>
          <w:color w:val="000000" w:themeColor="text1"/>
        </w:rPr>
        <w:t>, an acknowledged oxidative stressor</w:t>
      </w:r>
      <w:r w:rsidRPr="00BD3F27">
        <w:rPr>
          <w:color w:val="000000" w:themeColor="text1"/>
        </w:rPr>
        <w:t xml:space="preserve"> </w:t>
      </w:r>
      <w:r w:rsidR="006403E7" w:rsidRPr="00BD3F27">
        <w:rPr>
          <w:color w:val="000000" w:themeColor="text1"/>
        </w:rPr>
        <w:t>[4]</w:t>
      </w:r>
      <w:r w:rsidR="006D7D38" w:rsidRPr="00BD3F27">
        <w:rPr>
          <w:color w:val="000000" w:themeColor="text1"/>
        </w:rPr>
        <w:t xml:space="preserve"> </w:t>
      </w:r>
      <w:r w:rsidRPr="00BD3F27">
        <w:rPr>
          <w:color w:val="000000" w:themeColor="text1"/>
        </w:rPr>
        <w:t xml:space="preserve">and moderately with sediment </w:t>
      </w:r>
      <w:proofErr w:type="spellStart"/>
      <w:r w:rsidRPr="00BD3F27">
        <w:rPr>
          <w:color w:val="000000" w:themeColor="text1"/>
        </w:rPr>
        <w:t>Cd</w:t>
      </w:r>
      <w:proofErr w:type="spellEnd"/>
      <w:r w:rsidRPr="00BD3F27">
        <w:rPr>
          <w:color w:val="000000" w:themeColor="text1"/>
        </w:rPr>
        <w:t xml:space="preserve">, Zn and </w:t>
      </w:r>
      <w:proofErr w:type="spellStart"/>
      <w:r w:rsidRPr="00BD3F27">
        <w:rPr>
          <w:color w:val="000000" w:themeColor="text1"/>
        </w:rPr>
        <w:t>Pb</w:t>
      </w:r>
      <w:proofErr w:type="spellEnd"/>
      <w:r w:rsidRPr="00BD3F27">
        <w:rPr>
          <w:color w:val="000000" w:themeColor="text1"/>
        </w:rPr>
        <w:t xml:space="preserve"> (r</w:t>
      </w:r>
      <w:r w:rsidRPr="00BD3F27">
        <w:rPr>
          <w:color w:val="000000" w:themeColor="text1"/>
          <w:vertAlign w:val="superscript"/>
        </w:rPr>
        <w:t>2</w:t>
      </w:r>
      <w:r w:rsidRPr="00BD3F27">
        <w:rPr>
          <w:color w:val="000000" w:themeColor="text1"/>
        </w:rPr>
        <w:t xml:space="preserve">&gt;0.6). </w:t>
      </w:r>
      <w:r w:rsidR="006D7D38" w:rsidRPr="00BD3F27">
        <w:rPr>
          <w:color w:val="000000" w:themeColor="text1"/>
        </w:rPr>
        <w:t xml:space="preserve">Flounder liver GST activity is primarily attributable to two isoforms which detoxify lipid peroxidation products </w:t>
      </w:r>
      <w:r w:rsidR="006403E7" w:rsidRPr="00BD3F27">
        <w:rPr>
          <w:color w:val="000000" w:themeColor="text1"/>
        </w:rPr>
        <w:t>[5]</w:t>
      </w:r>
      <w:r w:rsidR="006D7D38" w:rsidRPr="00BD3F27">
        <w:rPr>
          <w:color w:val="000000" w:themeColor="text1"/>
        </w:rPr>
        <w:t xml:space="preserve"> and are inducible by organic peroxides and </w:t>
      </w:r>
      <w:proofErr w:type="spellStart"/>
      <w:r w:rsidR="006D7D38" w:rsidRPr="00BD3F27">
        <w:rPr>
          <w:color w:val="000000" w:themeColor="text1"/>
        </w:rPr>
        <w:t>peroxisomal</w:t>
      </w:r>
      <w:proofErr w:type="spellEnd"/>
      <w:r w:rsidR="006D7D38" w:rsidRPr="00BD3F27">
        <w:rPr>
          <w:color w:val="000000" w:themeColor="text1"/>
        </w:rPr>
        <w:t xml:space="preserve"> proliferators </w:t>
      </w:r>
      <w:r w:rsidR="006403E7" w:rsidRPr="00BD3F27">
        <w:rPr>
          <w:color w:val="000000" w:themeColor="text1"/>
        </w:rPr>
        <w:t>[6</w:t>
      </w:r>
      <w:proofErr w:type="gramStart"/>
      <w:r w:rsidR="006403E7" w:rsidRPr="00BD3F27">
        <w:rPr>
          <w:color w:val="000000" w:themeColor="text1"/>
        </w:rPr>
        <w:t>,7</w:t>
      </w:r>
      <w:proofErr w:type="gramEnd"/>
      <w:r w:rsidR="006403E7" w:rsidRPr="00BD3F27">
        <w:rPr>
          <w:color w:val="000000" w:themeColor="text1"/>
        </w:rPr>
        <w:t xml:space="preserve">]. </w:t>
      </w:r>
      <w:r w:rsidRPr="00BD3F27">
        <w:rPr>
          <w:color w:val="000000" w:themeColor="text1"/>
        </w:rPr>
        <w:t xml:space="preserve">GST activity was lowest in Morecambe Bay fish. Alde, Tyne and </w:t>
      </w:r>
      <w:proofErr w:type="spellStart"/>
      <w:r w:rsidRPr="00BD3F27">
        <w:rPr>
          <w:color w:val="000000" w:themeColor="text1"/>
        </w:rPr>
        <w:t>Brunsbuttel</w:t>
      </w:r>
      <w:proofErr w:type="spellEnd"/>
      <w:r w:rsidRPr="00BD3F27">
        <w:rPr>
          <w:color w:val="000000" w:themeColor="text1"/>
        </w:rPr>
        <w:t xml:space="preserve"> fish showed significantly higher GST activity, though Alde was the least elevated (&lt;2-fold) of these. GST correlated </w:t>
      </w:r>
      <w:r w:rsidR="00DD265B" w:rsidRPr="00BD3F27">
        <w:rPr>
          <w:color w:val="000000" w:themeColor="text1"/>
        </w:rPr>
        <w:t xml:space="preserve">well </w:t>
      </w:r>
      <w:r w:rsidRPr="00BD3F27">
        <w:rPr>
          <w:color w:val="000000" w:themeColor="text1"/>
        </w:rPr>
        <w:t xml:space="preserve">with liver Cr and sediment </w:t>
      </w:r>
      <w:proofErr w:type="gramStart"/>
      <w:r w:rsidRPr="00BD3F27">
        <w:rPr>
          <w:color w:val="000000" w:themeColor="text1"/>
        </w:rPr>
        <w:t>As</w:t>
      </w:r>
      <w:proofErr w:type="gramEnd"/>
      <w:r w:rsidRPr="00BD3F27">
        <w:rPr>
          <w:color w:val="000000" w:themeColor="text1"/>
        </w:rPr>
        <w:t xml:space="preserve"> (r</w:t>
      </w:r>
      <w:r w:rsidRPr="00BD3F27">
        <w:rPr>
          <w:color w:val="000000" w:themeColor="text1"/>
          <w:vertAlign w:val="superscript"/>
        </w:rPr>
        <w:t>2</w:t>
      </w:r>
      <w:r w:rsidRPr="00BD3F27">
        <w:rPr>
          <w:color w:val="000000" w:themeColor="text1"/>
        </w:rPr>
        <w:t>&gt;0.8) and moderately (r</w:t>
      </w:r>
      <w:r w:rsidRPr="00BD3F27">
        <w:rPr>
          <w:color w:val="000000" w:themeColor="text1"/>
          <w:vertAlign w:val="superscript"/>
        </w:rPr>
        <w:t>2</w:t>
      </w:r>
      <w:r w:rsidRPr="00BD3F27">
        <w:rPr>
          <w:color w:val="000000" w:themeColor="text1"/>
        </w:rPr>
        <w:t xml:space="preserve">&gt;0.6) with sediment Ni, </w:t>
      </w:r>
      <w:proofErr w:type="spellStart"/>
      <w:r w:rsidRPr="00BD3F27">
        <w:rPr>
          <w:color w:val="000000" w:themeColor="text1"/>
        </w:rPr>
        <w:t>Pb</w:t>
      </w:r>
      <w:proofErr w:type="spellEnd"/>
      <w:r w:rsidRPr="00BD3F27">
        <w:rPr>
          <w:color w:val="000000" w:themeColor="text1"/>
        </w:rPr>
        <w:t xml:space="preserve"> and Zn and sediment and liver PAH (3 points only). </w:t>
      </w:r>
    </w:p>
    <w:p w:rsidR="00660C2B" w:rsidRPr="00BD3F27" w:rsidRDefault="00660C2B" w:rsidP="002D4666">
      <w:pPr>
        <w:spacing w:line="480" w:lineRule="auto"/>
        <w:jc w:val="both"/>
        <w:rPr>
          <w:color w:val="000000" w:themeColor="text1"/>
        </w:rPr>
      </w:pPr>
    </w:p>
    <w:p w:rsidR="00BA4259" w:rsidRPr="00BD3F27" w:rsidRDefault="00BA4259" w:rsidP="00BA4259">
      <w:pPr>
        <w:spacing w:line="480" w:lineRule="auto"/>
        <w:jc w:val="both"/>
        <w:rPr>
          <w:color w:val="000000" w:themeColor="text1"/>
        </w:rPr>
      </w:pPr>
      <w:r w:rsidRPr="00BD3F27">
        <w:rPr>
          <w:color w:val="000000" w:themeColor="text1"/>
        </w:rPr>
        <w:t xml:space="preserve">EROD, measuring CYP1 family enzyme activity, </w:t>
      </w:r>
      <w:r w:rsidR="00244C92" w:rsidRPr="00BD3F27">
        <w:rPr>
          <w:color w:val="000000" w:themeColor="text1"/>
        </w:rPr>
        <w:t xml:space="preserve">and inducible by </w:t>
      </w:r>
      <w:proofErr w:type="spellStart"/>
      <w:r w:rsidR="00244C92" w:rsidRPr="00BD3F27">
        <w:rPr>
          <w:color w:val="000000" w:themeColor="text1"/>
        </w:rPr>
        <w:t>AhR</w:t>
      </w:r>
      <w:proofErr w:type="spellEnd"/>
      <w:r w:rsidR="00244C92" w:rsidRPr="00BD3F27">
        <w:rPr>
          <w:color w:val="000000" w:themeColor="text1"/>
        </w:rPr>
        <w:t xml:space="preserve"> agonists including PAHs, PCBs and dioxin, </w:t>
      </w:r>
      <w:r w:rsidRPr="00BD3F27">
        <w:rPr>
          <w:color w:val="000000" w:themeColor="text1"/>
        </w:rPr>
        <w:t xml:space="preserve">was lowest in Alde samples, significantly higher in Mersey and Morecambe Bay fish and significantly elevated more than 3-fold in </w:t>
      </w:r>
      <w:proofErr w:type="spellStart"/>
      <w:r w:rsidRPr="00BD3F27">
        <w:rPr>
          <w:color w:val="000000" w:themeColor="text1"/>
        </w:rPr>
        <w:t>Brunsbuttel</w:t>
      </w:r>
      <w:proofErr w:type="spellEnd"/>
      <w:r w:rsidRPr="00BD3F27">
        <w:rPr>
          <w:color w:val="000000" w:themeColor="text1"/>
        </w:rPr>
        <w:t xml:space="preserve"> fish. Tyne fish showed an average 7-fold induction in EROD activity, but this was not statistically significant due to high inter-individual variability. EROD correlated highly with both sediment and liver PAH (r</w:t>
      </w:r>
      <w:r w:rsidRPr="00BD3F27">
        <w:rPr>
          <w:color w:val="000000" w:themeColor="text1"/>
          <w:vertAlign w:val="superscript"/>
        </w:rPr>
        <w:t>2</w:t>
      </w:r>
      <w:r w:rsidRPr="00BD3F27">
        <w:rPr>
          <w:color w:val="000000" w:themeColor="text1"/>
        </w:rPr>
        <w:t xml:space="preserve">&gt;0.87), but using 3 points only. Morecambe Bay fish had the lowest hepatic MT concentration, and this was significantly elevated in Mersey and </w:t>
      </w:r>
      <w:proofErr w:type="spellStart"/>
      <w:r w:rsidRPr="00BD3F27">
        <w:rPr>
          <w:color w:val="000000" w:themeColor="text1"/>
        </w:rPr>
        <w:t>Brunsbuttel</w:t>
      </w:r>
      <w:proofErr w:type="spellEnd"/>
      <w:r w:rsidRPr="00BD3F27">
        <w:rPr>
          <w:color w:val="000000" w:themeColor="text1"/>
        </w:rPr>
        <w:t xml:space="preserve"> fish. </w:t>
      </w:r>
      <w:r w:rsidR="00660C2B" w:rsidRPr="00BD3F27">
        <w:rPr>
          <w:color w:val="000000" w:themeColor="text1"/>
        </w:rPr>
        <w:t xml:space="preserve">Hepatic MT in flounder was induced moderately by Cd and Zn but not by Cu or Hg in a previous study </w:t>
      </w:r>
      <w:r w:rsidR="006403E7" w:rsidRPr="00BD3F27">
        <w:rPr>
          <w:color w:val="000000" w:themeColor="text1"/>
        </w:rPr>
        <w:t xml:space="preserve">[8]. </w:t>
      </w:r>
      <w:r w:rsidRPr="00BD3F27">
        <w:rPr>
          <w:color w:val="000000" w:themeColor="text1"/>
        </w:rPr>
        <w:t>MT correlated well with both sediment and liver Hg (r</w:t>
      </w:r>
      <w:r w:rsidRPr="00BD3F27">
        <w:rPr>
          <w:color w:val="000000" w:themeColor="text1"/>
          <w:vertAlign w:val="superscript"/>
        </w:rPr>
        <w:t>2</w:t>
      </w:r>
      <w:r w:rsidRPr="00BD3F27">
        <w:rPr>
          <w:color w:val="000000" w:themeColor="text1"/>
        </w:rPr>
        <w:t xml:space="preserve">&gt;0.95) and moderately with liver Cr and sediment </w:t>
      </w:r>
      <w:proofErr w:type="gramStart"/>
      <w:r w:rsidRPr="00BD3F27">
        <w:rPr>
          <w:color w:val="000000" w:themeColor="text1"/>
        </w:rPr>
        <w:t>As</w:t>
      </w:r>
      <w:proofErr w:type="gramEnd"/>
      <w:r w:rsidRPr="00BD3F27">
        <w:rPr>
          <w:color w:val="000000" w:themeColor="text1"/>
        </w:rPr>
        <w:t xml:space="preserve"> (r</w:t>
      </w:r>
      <w:r w:rsidRPr="00BD3F27">
        <w:rPr>
          <w:color w:val="000000" w:themeColor="text1"/>
          <w:vertAlign w:val="superscript"/>
        </w:rPr>
        <w:t>2</w:t>
      </w:r>
      <w:r w:rsidRPr="00BD3F27">
        <w:rPr>
          <w:color w:val="000000" w:themeColor="text1"/>
        </w:rPr>
        <w:t xml:space="preserve">&gt;0.6). Overall, the changes in protein biomarkers were classified as Tyne &amp; </w:t>
      </w:r>
      <w:proofErr w:type="spellStart"/>
      <w:r w:rsidRPr="00BD3F27">
        <w:rPr>
          <w:color w:val="000000" w:themeColor="text1"/>
        </w:rPr>
        <w:lastRenderedPageBreak/>
        <w:t>Brunsbuttel</w:t>
      </w:r>
      <w:proofErr w:type="spellEnd"/>
      <w:r w:rsidRPr="00BD3F27">
        <w:rPr>
          <w:color w:val="000000" w:themeColor="text1"/>
        </w:rPr>
        <w:t xml:space="preserve"> &gt; Mersey &gt; Morecambe Bay &amp; Alde. These reflected the degree of pollution revealed by the chemistry data, although the Mersey fish were less responsive than might be expected</w:t>
      </w:r>
      <w:r w:rsidR="00360106" w:rsidRPr="00BD3F27">
        <w:rPr>
          <w:color w:val="000000" w:themeColor="text1"/>
        </w:rPr>
        <w:t xml:space="preserve"> and</w:t>
      </w:r>
      <w:r w:rsidRPr="00BD3F27">
        <w:rPr>
          <w:color w:val="000000" w:themeColor="text1"/>
        </w:rPr>
        <w:t xml:space="preserve"> </w:t>
      </w:r>
      <w:r w:rsidR="00360106" w:rsidRPr="00BD3F27">
        <w:rPr>
          <w:color w:val="000000" w:themeColor="text1"/>
        </w:rPr>
        <w:t xml:space="preserve">fish from Morecambe Bay, which had relatively low sediment PAH and PCB concentrations, had significantly elevated EROD activity, possibly indicative of migration or an alternative exposure route. </w:t>
      </w:r>
    </w:p>
    <w:p w:rsidR="00BA4259" w:rsidRPr="00BD3F27" w:rsidRDefault="00BA4259" w:rsidP="00BA4259">
      <w:pPr>
        <w:spacing w:line="480" w:lineRule="auto"/>
        <w:rPr>
          <w:rFonts w:ascii="Arial" w:hAnsi="Arial" w:cs="Arial"/>
          <w:color w:val="000000" w:themeColor="text1"/>
        </w:rPr>
      </w:pPr>
    </w:p>
    <w:p w:rsidR="00BA4259" w:rsidRPr="00BD3F27" w:rsidRDefault="00BA4259" w:rsidP="00BA4259">
      <w:pPr>
        <w:spacing w:line="480" w:lineRule="auto"/>
        <w:rPr>
          <w:rFonts w:ascii="Arial" w:hAnsi="Arial" w:cs="Arial"/>
          <w:b/>
          <w:color w:val="000000" w:themeColor="text1"/>
        </w:rPr>
      </w:pPr>
      <w:r w:rsidRPr="00BD3F27">
        <w:rPr>
          <w:rFonts w:ascii="Arial" w:hAnsi="Arial" w:cs="Arial"/>
          <w:b/>
          <w:color w:val="000000" w:themeColor="text1"/>
        </w:rPr>
        <w:t>e- Genetics</w:t>
      </w:r>
    </w:p>
    <w:p w:rsidR="00BA4259" w:rsidRPr="00BD3F27" w:rsidRDefault="00BA4259" w:rsidP="00BA4259">
      <w:pPr>
        <w:spacing w:line="480" w:lineRule="auto"/>
        <w:jc w:val="both"/>
        <w:rPr>
          <w:color w:val="000000" w:themeColor="text1"/>
        </w:rPr>
      </w:pPr>
      <w:r w:rsidRPr="00BD3F27">
        <w:rPr>
          <w:color w:val="000000" w:themeColor="text1"/>
        </w:rPr>
        <w:t xml:space="preserve">There was no evidence of significant departure from H/W expectations at any of the polymorphic loci. For the presumed neutral set of markers (microsatellites; mean 7.2 alleles per locus per sample) there were indications of a dichotomy between Irish Sea and North Sea samples, though this was, at best, weak. There was no evidence of population substructure within these two geographic areas. There was relatively little variability within the detoxification gene-associated genetic markers (mean 1.6 alleles per locus per sample) and nuclear transcription factor sequences (2.1 alleles per locus per sample) and neither robust geographic structuring nor grouping according to degree of pollution was discernible from these data.  </w:t>
      </w:r>
    </w:p>
    <w:p w:rsidR="00BA4259" w:rsidRPr="00BD3F27" w:rsidRDefault="00BA4259" w:rsidP="00BA4259">
      <w:pPr>
        <w:spacing w:line="480" w:lineRule="auto"/>
        <w:rPr>
          <w:b/>
          <w:color w:val="000000" w:themeColor="text1"/>
        </w:rPr>
      </w:pPr>
    </w:p>
    <w:p w:rsidR="00BA4259" w:rsidRPr="00BD3F27" w:rsidRDefault="00BA4259" w:rsidP="00BA4259">
      <w:pPr>
        <w:spacing w:line="480" w:lineRule="auto"/>
        <w:rPr>
          <w:rFonts w:ascii="Arial" w:hAnsi="Arial" w:cs="Arial"/>
          <w:b/>
          <w:color w:val="000000" w:themeColor="text1"/>
        </w:rPr>
      </w:pPr>
      <w:r w:rsidRPr="00BD3F27">
        <w:rPr>
          <w:rFonts w:ascii="Arial" w:hAnsi="Arial" w:cs="Arial"/>
          <w:b/>
          <w:color w:val="000000" w:themeColor="text1"/>
        </w:rPr>
        <w:t xml:space="preserve">f- </w:t>
      </w:r>
      <w:proofErr w:type="spellStart"/>
      <w:r w:rsidRPr="00BD3F27">
        <w:rPr>
          <w:rFonts w:ascii="Arial" w:hAnsi="Arial" w:cs="Arial"/>
          <w:b/>
          <w:color w:val="000000" w:themeColor="text1"/>
        </w:rPr>
        <w:t>Transcriptomics</w:t>
      </w:r>
      <w:proofErr w:type="spellEnd"/>
      <w:r w:rsidRPr="00BD3F27">
        <w:rPr>
          <w:rFonts w:ascii="Arial" w:hAnsi="Arial" w:cs="Arial"/>
          <w:b/>
          <w:color w:val="000000" w:themeColor="text1"/>
        </w:rPr>
        <w:t xml:space="preserve"> and </w:t>
      </w:r>
      <w:proofErr w:type="spellStart"/>
      <w:r w:rsidRPr="00BD3F27">
        <w:rPr>
          <w:rFonts w:ascii="Arial" w:hAnsi="Arial" w:cs="Arial"/>
          <w:b/>
          <w:color w:val="000000" w:themeColor="text1"/>
        </w:rPr>
        <w:t>Metabolomics</w:t>
      </w:r>
      <w:proofErr w:type="spellEnd"/>
      <w:r w:rsidRPr="00BD3F27">
        <w:rPr>
          <w:rFonts w:ascii="Arial" w:hAnsi="Arial" w:cs="Arial"/>
          <w:b/>
          <w:color w:val="000000" w:themeColor="text1"/>
        </w:rPr>
        <w:t xml:space="preserve"> Data</w:t>
      </w:r>
    </w:p>
    <w:p w:rsidR="00D12636" w:rsidRPr="00BD3F27" w:rsidRDefault="00BA4259" w:rsidP="00D12636">
      <w:pPr>
        <w:spacing w:line="480" w:lineRule="auto"/>
        <w:jc w:val="both"/>
        <w:rPr>
          <w:color w:val="000000" w:themeColor="text1"/>
        </w:rPr>
      </w:pPr>
      <w:r w:rsidRPr="00BD3F27">
        <w:rPr>
          <w:color w:val="000000" w:themeColor="text1"/>
        </w:rPr>
        <w:t xml:space="preserve">Microarray data, upon initial analysis, were found to be affected by slide print-batch bias; therefore, as samples had been randomized, a Bayesian correction was applied to resolve this problem. Subsequently, after finding representative clones for each contiguous sequence cluster and discarding unreliable data, 2417 non-contiguous transcripts passed the quality thresholds. For metabolomics, data from 560 discrete bins were carried through into further analyses. </w:t>
      </w:r>
      <w:proofErr w:type="spellStart"/>
      <w:r w:rsidRPr="00BD3F27">
        <w:rPr>
          <w:color w:val="000000" w:themeColor="text1"/>
        </w:rPr>
        <w:t>Transcriptomic</w:t>
      </w:r>
      <w:proofErr w:type="spellEnd"/>
      <w:r w:rsidRPr="00BD3F27">
        <w:rPr>
          <w:color w:val="000000" w:themeColor="text1"/>
        </w:rPr>
        <w:t xml:space="preserve"> and </w:t>
      </w:r>
      <w:proofErr w:type="spellStart"/>
      <w:r w:rsidRPr="00BD3F27">
        <w:rPr>
          <w:color w:val="000000" w:themeColor="text1"/>
        </w:rPr>
        <w:t>metabolomic</w:t>
      </w:r>
      <w:proofErr w:type="spellEnd"/>
      <w:r w:rsidRPr="00BD3F27">
        <w:rPr>
          <w:color w:val="000000" w:themeColor="text1"/>
        </w:rPr>
        <w:t xml:space="preserve"> data were combined, together with fish measurements length, </w:t>
      </w:r>
      <w:r w:rsidRPr="00BD3F27">
        <w:rPr>
          <w:color w:val="000000" w:themeColor="text1"/>
        </w:rPr>
        <w:lastRenderedPageBreak/>
        <w:t xml:space="preserve">weight, liver weight, HSI and K. ANOVA between samples grouped by site at FDR&lt;0.05 showed that 629 transcripts, 82 metabolite bins and all fish measurements were statistically significantly different between sites.  These data are shown in </w:t>
      </w:r>
      <w:r w:rsidR="00D4073F" w:rsidRPr="00BD3F27">
        <w:rPr>
          <w:color w:val="000000" w:themeColor="text1"/>
        </w:rPr>
        <w:t>Table S1</w:t>
      </w:r>
      <w:r w:rsidRPr="00BD3F27">
        <w:rPr>
          <w:color w:val="000000" w:themeColor="text1"/>
        </w:rPr>
        <w:t xml:space="preserve"> for the transcripts that were identifiable with known protein coding sequences (410) and identified metabolite bins (25). Of particular note were those genes and metabolites that were consistently induced at all sites more than 1.5-fold in comparison with Alde fish, These included the metabolite o-</w:t>
      </w:r>
      <w:proofErr w:type="spellStart"/>
      <w:r w:rsidRPr="00BD3F27">
        <w:rPr>
          <w:color w:val="000000" w:themeColor="text1"/>
        </w:rPr>
        <w:t>phosphocholine</w:t>
      </w:r>
      <w:proofErr w:type="spellEnd"/>
      <w:r w:rsidRPr="00BD3F27">
        <w:rPr>
          <w:color w:val="000000" w:themeColor="text1"/>
        </w:rPr>
        <w:t xml:space="preserve"> and transcripts </w:t>
      </w:r>
      <w:proofErr w:type="spellStart"/>
      <w:r w:rsidRPr="00BD3F27">
        <w:rPr>
          <w:color w:val="000000" w:themeColor="text1"/>
        </w:rPr>
        <w:t>cytochrome</w:t>
      </w:r>
      <w:proofErr w:type="spellEnd"/>
      <w:r w:rsidRPr="00BD3F27">
        <w:rPr>
          <w:color w:val="000000" w:themeColor="text1"/>
        </w:rPr>
        <w:t xml:space="preserve"> P450 1A (CYP1A), </w:t>
      </w:r>
      <w:r w:rsidR="00666775" w:rsidRPr="00BD3F27">
        <w:rPr>
          <w:color w:val="000000" w:themeColor="text1"/>
        </w:rPr>
        <w:t xml:space="preserve">the pro-apoptotic gene </w:t>
      </w:r>
      <w:r w:rsidRPr="00BD3F27">
        <w:rPr>
          <w:color w:val="000000" w:themeColor="text1"/>
        </w:rPr>
        <w:t xml:space="preserve">direct IAP binding protein with low </w:t>
      </w:r>
      <w:proofErr w:type="spellStart"/>
      <w:r w:rsidRPr="00BD3F27">
        <w:rPr>
          <w:color w:val="000000" w:themeColor="text1"/>
        </w:rPr>
        <w:t>pI</w:t>
      </w:r>
      <w:proofErr w:type="spellEnd"/>
      <w:r w:rsidRPr="00BD3F27">
        <w:rPr>
          <w:color w:val="000000" w:themeColor="text1"/>
        </w:rPr>
        <w:t xml:space="preserve"> (DIABLO)</w:t>
      </w:r>
      <w:r w:rsidR="00666775" w:rsidRPr="00BD3F27">
        <w:rPr>
          <w:color w:val="000000" w:themeColor="text1"/>
        </w:rPr>
        <w:t xml:space="preserve"> </w:t>
      </w:r>
      <w:r w:rsidR="006403E7" w:rsidRPr="00BD3F27">
        <w:rPr>
          <w:color w:val="000000" w:themeColor="text1"/>
        </w:rPr>
        <w:t xml:space="preserve">[9,10], </w:t>
      </w:r>
      <w:proofErr w:type="spellStart"/>
      <w:r w:rsidRPr="00BD3F27">
        <w:rPr>
          <w:color w:val="000000" w:themeColor="text1"/>
        </w:rPr>
        <w:t>ceruloplasmin</w:t>
      </w:r>
      <w:proofErr w:type="spellEnd"/>
      <w:r w:rsidRPr="00BD3F27">
        <w:rPr>
          <w:color w:val="000000" w:themeColor="text1"/>
        </w:rPr>
        <w:t xml:space="preserve">, </w:t>
      </w:r>
      <w:proofErr w:type="spellStart"/>
      <w:r w:rsidRPr="00BD3F27">
        <w:rPr>
          <w:color w:val="000000" w:themeColor="text1"/>
        </w:rPr>
        <w:t>hepcidin</w:t>
      </w:r>
      <w:proofErr w:type="spellEnd"/>
      <w:r w:rsidRPr="00BD3F27">
        <w:rPr>
          <w:color w:val="000000" w:themeColor="text1"/>
        </w:rPr>
        <w:t xml:space="preserve"> and </w:t>
      </w:r>
      <w:proofErr w:type="spellStart"/>
      <w:r w:rsidRPr="00BD3F27">
        <w:rPr>
          <w:color w:val="000000" w:themeColor="text1"/>
        </w:rPr>
        <w:t>catalase</w:t>
      </w:r>
      <w:proofErr w:type="spellEnd"/>
      <w:r w:rsidRPr="00BD3F27">
        <w:rPr>
          <w:color w:val="000000" w:themeColor="text1"/>
        </w:rPr>
        <w:t xml:space="preserve">. Of these, the well-known biomarker gene CYP1A was most highly induced. </w:t>
      </w:r>
      <w:r w:rsidR="00D12636" w:rsidRPr="00BD3F27">
        <w:rPr>
          <w:color w:val="000000" w:themeColor="text1"/>
        </w:rPr>
        <w:t xml:space="preserve">Overall, the gene expression changes showed similarities with, but were not identical to, the changes detected in our earlier study </w:t>
      </w:r>
      <w:r w:rsidR="006403E7" w:rsidRPr="00BD3F27">
        <w:rPr>
          <w:color w:val="000000" w:themeColor="text1"/>
        </w:rPr>
        <w:t>[11]</w:t>
      </w:r>
      <w:r w:rsidR="00D12636" w:rsidRPr="00BD3F27">
        <w:rPr>
          <w:color w:val="000000" w:themeColor="text1"/>
        </w:rPr>
        <w:t xml:space="preserve">. Gene ontology comparisons of differentially expressed genes showed changes in xenobiotic, glutathione and hormone metabolism, transcription, translation, ATP synthesis, cell cycle and metal ion homeostasis </w:t>
      </w:r>
      <w:r w:rsidR="00D4073F" w:rsidRPr="00BD3F27">
        <w:rPr>
          <w:color w:val="000000" w:themeColor="text1"/>
        </w:rPr>
        <w:t>(Text S1</w:t>
      </w:r>
      <w:r w:rsidR="00A91923" w:rsidRPr="00BD3F27">
        <w:rPr>
          <w:color w:val="000000" w:themeColor="text1"/>
        </w:rPr>
        <w:t>, Figure 1</w:t>
      </w:r>
      <w:r w:rsidR="00D12636" w:rsidRPr="00BD3F27">
        <w:rPr>
          <w:color w:val="000000" w:themeColor="text1"/>
        </w:rPr>
        <w:t xml:space="preserve">). </w:t>
      </w:r>
    </w:p>
    <w:p w:rsidR="009536CE" w:rsidRPr="00BD3F27" w:rsidRDefault="009536CE" w:rsidP="00BA4259">
      <w:pPr>
        <w:spacing w:line="480" w:lineRule="auto"/>
        <w:jc w:val="both"/>
        <w:rPr>
          <w:color w:val="000000" w:themeColor="text1"/>
        </w:rPr>
      </w:pPr>
    </w:p>
    <w:p w:rsidR="009536CE" w:rsidRPr="00BD3F27" w:rsidRDefault="00BA4259" w:rsidP="00BA4259">
      <w:pPr>
        <w:spacing w:line="480" w:lineRule="auto"/>
        <w:jc w:val="both"/>
        <w:rPr>
          <w:color w:val="000000" w:themeColor="text1"/>
        </w:rPr>
      </w:pPr>
      <w:r w:rsidRPr="00BD3F27">
        <w:rPr>
          <w:color w:val="000000" w:themeColor="text1"/>
        </w:rPr>
        <w:t xml:space="preserve">Since fish measurements were significantly different between sites, T-tests at FDR&lt;0.05 were carried out within each site group comparing the top and bottom quartile for each parameter; length, weight, liver weight, gonad weight, HSI, GSI and K. One glucose bin (3.482) was associated with GSI, phospholipase A2 and an EST weakly similar to 14kDa </w:t>
      </w:r>
      <w:proofErr w:type="spellStart"/>
      <w:r w:rsidRPr="00BD3F27">
        <w:rPr>
          <w:color w:val="000000" w:themeColor="text1"/>
        </w:rPr>
        <w:t>apolipoprotein</w:t>
      </w:r>
      <w:proofErr w:type="spellEnd"/>
      <w:r w:rsidRPr="00BD3F27">
        <w:rPr>
          <w:color w:val="000000" w:themeColor="text1"/>
        </w:rPr>
        <w:t xml:space="preserve"> were associated with liver weight, N</w:t>
      </w:r>
      <w:proofErr w:type="gramStart"/>
      <w:r w:rsidRPr="00BD3F27">
        <w:rPr>
          <w:color w:val="000000" w:themeColor="text1"/>
        </w:rPr>
        <w:t>,N</w:t>
      </w:r>
      <w:proofErr w:type="gramEnd"/>
      <w:r w:rsidRPr="00BD3F27">
        <w:rPr>
          <w:color w:val="000000" w:themeColor="text1"/>
        </w:rPr>
        <w:t>-</w:t>
      </w:r>
      <w:proofErr w:type="spellStart"/>
      <w:r w:rsidRPr="00BD3F27">
        <w:rPr>
          <w:color w:val="000000" w:themeColor="text1"/>
        </w:rPr>
        <w:t>dimethylglycine</w:t>
      </w:r>
      <w:proofErr w:type="spellEnd"/>
      <w:r w:rsidRPr="00BD3F27">
        <w:rPr>
          <w:color w:val="000000" w:themeColor="text1"/>
        </w:rPr>
        <w:t>, six unidentified metabolites, UDP-</w:t>
      </w:r>
      <w:proofErr w:type="spellStart"/>
      <w:r w:rsidRPr="00BD3F27">
        <w:rPr>
          <w:color w:val="000000" w:themeColor="text1"/>
        </w:rPr>
        <w:t>glucuronosyltransferase</w:t>
      </w:r>
      <w:proofErr w:type="spellEnd"/>
      <w:r w:rsidRPr="00BD3F27">
        <w:rPr>
          <w:color w:val="000000" w:themeColor="text1"/>
        </w:rPr>
        <w:t xml:space="preserve"> (UGT3 gene), serine </w:t>
      </w:r>
      <w:proofErr w:type="spellStart"/>
      <w:r w:rsidRPr="00BD3F27">
        <w:rPr>
          <w:color w:val="000000" w:themeColor="text1"/>
        </w:rPr>
        <w:t>hydroxymethyl</w:t>
      </w:r>
      <w:proofErr w:type="spellEnd"/>
      <w:r w:rsidRPr="00BD3F27">
        <w:rPr>
          <w:color w:val="000000" w:themeColor="text1"/>
        </w:rPr>
        <w:t xml:space="preserve"> </w:t>
      </w:r>
      <w:proofErr w:type="spellStart"/>
      <w:r w:rsidRPr="00BD3F27">
        <w:rPr>
          <w:color w:val="000000" w:themeColor="text1"/>
        </w:rPr>
        <w:t>transferase</w:t>
      </w:r>
      <w:proofErr w:type="spellEnd"/>
      <w:r w:rsidRPr="00BD3F27">
        <w:rPr>
          <w:color w:val="000000" w:themeColor="text1"/>
        </w:rPr>
        <w:t xml:space="preserve"> 1 (SHMT1), chemokine (C-C motif) </w:t>
      </w:r>
      <w:proofErr w:type="spellStart"/>
      <w:r w:rsidRPr="00BD3F27">
        <w:rPr>
          <w:color w:val="000000" w:themeColor="text1"/>
        </w:rPr>
        <w:t>ligand</w:t>
      </w:r>
      <w:proofErr w:type="spellEnd"/>
      <w:r w:rsidRPr="00BD3F27">
        <w:rPr>
          <w:color w:val="000000" w:themeColor="text1"/>
        </w:rPr>
        <w:t xml:space="preserve"> 14 and </w:t>
      </w:r>
      <w:proofErr w:type="spellStart"/>
      <w:r w:rsidRPr="00BD3F27">
        <w:rPr>
          <w:color w:val="000000" w:themeColor="text1"/>
        </w:rPr>
        <w:t>betaine</w:t>
      </w:r>
      <w:proofErr w:type="spellEnd"/>
      <w:r w:rsidRPr="00BD3F27">
        <w:rPr>
          <w:color w:val="000000" w:themeColor="text1"/>
        </w:rPr>
        <w:t xml:space="preserve"> </w:t>
      </w:r>
      <w:proofErr w:type="spellStart"/>
      <w:r w:rsidRPr="00BD3F27">
        <w:rPr>
          <w:color w:val="000000" w:themeColor="text1"/>
        </w:rPr>
        <w:t>aldehyde</w:t>
      </w:r>
      <w:proofErr w:type="spellEnd"/>
      <w:r w:rsidRPr="00BD3F27">
        <w:rPr>
          <w:color w:val="000000" w:themeColor="text1"/>
        </w:rPr>
        <w:t xml:space="preserve"> </w:t>
      </w:r>
      <w:proofErr w:type="spellStart"/>
      <w:r w:rsidRPr="00BD3F27">
        <w:rPr>
          <w:color w:val="000000" w:themeColor="text1"/>
        </w:rPr>
        <w:t>dehydrogenase</w:t>
      </w:r>
      <w:proofErr w:type="spellEnd"/>
      <w:r w:rsidRPr="00BD3F27">
        <w:rPr>
          <w:color w:val="000000" w:themeColor="text1"/>
        </w:rPr>
        <w:t xml:space="preserve"> were associated with condition factor (K). Of these, glucose, UGT3 and SHMT1 were identified as differentially expressed between sites (</w:t>
      </w:r>
      <w:r w:rsidR="00D4073F" w:rsidRPr="00BD3F27">
        <w:rPr>
          <w:color w:val="000000" w:themeColor="text1"/>
        </w:rPr>
        <w:t>Table S1</w:t>
      </w:r>
      <w:r w:rsidRPr="00BD3F27">
        <w:rPr>
          <w:color w:val="000000" w:themeColor="text1"/>
        </w:rPr>
        <w:t xml:space="preserve">). Similarly, as parasite occurrence was different between sites, T-tests </w:t>
      </w:r>
      <w:r w:rsidRPr="00BD3F27">
        <w:rPr>
          <w:color w:val="000000" w:themeColor="text1"/>
        </w:rPr>
        <w:lastRenderedPageBreak/>
        <w:t xml:space="preserve">(FDR&lt;0.05) were carried out within each UK site group comparing fish with and without </w:t>
      </w:r>
      <w:proofErr w:type="spellStart"/>
      <w:r w:rsidRPr="00BD3F27">
        <w:rPr>
          <w:i/>
          <w:color w:val="000000" w:themeColor="text1"/>
        </w:rPr>
        <w:t>Lepeophtheirus</w:t>
      </w:r>
      <w:proofErr w:type="spellEnd"/>
      <w:r w:rsidRPr="00BD3F27">
        <w:rPr>
          <w:color w:val="000000" w:themeColor="text1"/>
        </w:rPr>
        <w:t xml:space="preserve">, </w:t>
      </w:r>
      <w:proofErr w:type="spellStart"/>
      <w:r w:rsidRPr="00BD3F27">
        <w:rPr>
          <w:i/>
          <w:color w:val="000000" w:themeColor="text1"/>
        </w:rPr>
        <w:t>Acanthochondria</w:t>
      </w:r>
      <w:proofErr w:type="spellEnd"/>
      <w:r w:rsidRPr="00BD3F27">
        <w:rPr>
          <w:color w:val="000000" w:themeColor="text1"/>
        </w:rPr>
        <w:t xml:space="preserve">, </w:t>
      </w:r>
      <w:proofErr w:type="spellStart"/>
      <w:r w:rsidRPr="00BD3F27">
        <w:rPr>
          <w:i/>
          <w:color w:val="000000" w:themeColor="text1"/>
        </w:rPr>
        <w:t>Anisakidae</w:t>
      </w:r>
      <w:proofErr w:type="spellEnd"/>
      <w:r w:rsidRPr="00BD3F27">
        <w:rPr>
          <w:color w:val="000000" w:themeColor="text1"/>
        </w:rPr>
        <w:t xml:space="preserve"> and </w:t>
      </w:r>
      <w:proofErr w:type="spellStart"/>
      <w:r w:rsidRPr="00BD3F27">
        <w:rPr>
          <w:i/>
          <w:color w:val="000000" w:themeColor="text1"/>
        </w:rPr>
        <w:t>Glugea</w:t>
      </w:r>
      <w:proofErr w:type="spellEnd"/>
      <w:r w:rsidRPr="00BD3F27">
        <w:rPr>
          <w:i/>
          <w:color w:val="000000" w:themeColor="text1"/>
        </w:rPr>
        <w:t xml:space="preserve"> </w:t>
      </w:r>
      <w:r w:rsidRPr="00BD3F27">
        <w:rPr>
          <w:color w:val="000000" w:themeColor="text1"/>
        </w:rPr>
        <w:t xml:space="preserve">infections. Only </w:t>
      </w:r>
      <w:proofErr w:type="spellStart"/>
      <w:r w:rsidRPr="00BD3F27">
        <w:rPr>
          <w:i/>
          <w:color w:val="000000" w:themeColor="text1"/>
        </w:rPr>
        <w:t>Lepeophtheirus</w:t>
      </w:r>
      <w:proofErr w:type="spellEnd"/>
      <w:r w:rsidRPr="00BD3F27">
        <w:rPr>
          <w:color w:val="000000" w:themeColor="text1"/>
        </w:rPr>
        <w:t xml:space="preserve"> infection resulted in statistically significant differences in gene expression and metabolite concentration, with 3 unidentified ESTs differentially expressed in Alde fish, and 15 metabolite bins and 60 transcripts altered in Morecambe Bay fish (</w:t>
      </w:r>
      <w:r w:rsidR="00D4073F" w:rsidRPr="00BD3F27">
        <w:rPr>
          <w:color w:val="000000" w:themeColor="text1"/>
        </w:rPr>
        <w:t>Table S4).</w:t>
      </w:r>
      <w:r w:rsidRPr="00BD3F27">
        <w:rPr>
          <w:color w:val="000000" w:themeColor="text1"/>
        </w:rPr>
        <w:t xml:space="preserve"> Significantly induced genes included Mx1, Mapk12, transferrin and STAT1, and were significantly associated with liver proliferation FDR=4.22E-3 and non-significantly with interleukin 22 and interferon signalling (Ingenuity). Nine of the identified genes were also differently expressed between sampling sites (</w:t>
      </w:r>
      <w:r w:rsidR="00D4073F" w:rsidRPr="00BD3F27">
        <w:rPr>
          <w:color w:val="000000" w:themeColor="text1"/>
        </w:rPr>
        <w:t>Tables S1 and S4</w:t>
      </w:r>
      <w:r w:rsidRPr="00BD3F27">
        <w:rPr>
          <w:color w:val="000000" w:themeColor="text1"/>
        </w:rPr>
        <w:t xml:space="preserve">). Other comparisons identified no significant changes. </w:t>
      </w:r>
    </w:p>
    <w:p w:rsidR="009536CE" w:rsidRPr="00BD3F27" w:rsidRDefault="009536CE" w:rsidP="00BA4259">
      <w:pPr>
        <w:spacing w:line="480" w:lineRule="auto"/>
        <w:jc w:val="both"/>
        <w:rPr>
          <w:color w:val="000000" w:themeColor="text1"/>
        </w:rPr>
      </w:pPr>
    </w:p>
    <w:p w:rsidR="00BA4259" w:rsidRPr="00BD3F27" w:rsidRDefault="00BA4259" w:rsidP="00BA4259">
      <w:pPr>
        <w:spacing w:line="480" w:lineRule="auto"/>
        <w:jc w:val="both"/>
        <w:rPr>
          <w:color w:val="000000" w:themeColor="text1"/>
        </w:rPr>
      </w:pPr>
      <w:r w:rsidRPr="00BD3F27">
        <w:rPr>
          <w:color w:val="000000" w:themeColor="text1"/>
        </w:rPr>
        <w:t xml:space="preserve">To compare the current data with previous </w:t>
      </w:r>
      <w:proofErr w:type="spellStart"/>
      <w:r w:rsidRPr="00BD3F27">
        <w:rPr>
          <w:color w:val="000000" w:themeColor="text1"/>
        </w:rPr>
        <w:t>transcriptomic</w:t>
      </w:r>
      <w:proofErr w:type="spellEnd"/>
      <w:r w:rsidRPr="00BD3F27">
        <w:rPr>
          <w:color w:val="000000" w:themeColor="text1"/>
        </w:rPr>
        <w:t xml:space="preserve"> data on independent samples from Alde, </w:t>
      </w:r>
      <w:proofErr w:type="spellStart"/>
      <w:r w:rsidRPr="00BD3F27">
        <w:rPr>
          <w:color w:val="000000" w:themeColor="text1"/>
        </w:rPr>
        <w:t>Brunsbuttel</w:t>
      </w:r>
      <w:proofErr w:type="spellEnd"/>
      <w:r w:rsidRPr="00BD3F27">
        <w:rPr>
          <w:color w:val="000000" w:themeColor="text1"/>
        </w:rPr>
        <w:t xml:space="preserve">, Helgoland, Cuxhaven and Tyne sites </w:t>
      </w:r>
      <w:proofErr w:type="spellStart"/>
      <w:r w:rsidRPr="00BD3F27">
        <w:rPr>
          <w:color w:val="000000" w:themeColor="text1"/>
        </w:rPr>
        <w:t>Howdon</w:t>
      </w:r>
      <w:proofErr w:type="spellEnd"/>
      <w:r w:rsidRPr="00BD3F27">
        <w:rPr>
          <w:color w:val="000000" w:themeColor="text1"/>
        </w:rPr>
        <w:t xml:space="preserve"> and Team </w:t>
      </w:r>
      <w:r w:rsidR="006403E7" w:rsidRPr="00BD3F27">
        <w:rPr>
          <w:color w:val="000000" w:themeColor="text1"/>
        </w:rPr>
        <w:t xml:space="preserve">[11], </w:t>
      </w:r>
      <w:r w:rsidRPr="00BD3F27">
        <w:rPr>
          <w:color w:val="000000" w:themeColor="text1"/>
        </w:rPr>
        <w:t xml:space="preserve">a classification algorithm was employed and this predicted all sampling sites correctly, </w:t>
      </w:r>
      <w:r w:rsidR="00CE0201" w:rsidRPr="00BD3F27">
        <w:rPr>
          <w:color w:val="000000" w:themeColor="text1"/>
        </w:rPr>
        <w:t>in agreement with</w:t>
      </w:r>
      <w:r w:rsidRPr="00BD3F27">
        <w:rPr>
          <w:color w:val="000000" w:themeColor="text1"/>
        </w:rPr>
        <w:t xml:space="preserve"> the previous data</w:t>
      </w:r>
      <w:r w:rsidR="00CE0201" w:rsidRPr="00BD3F27">
        <w:rPr>
          <w:color w:val="000000" w:themeColor="text1"/>
        </w:rPr>
        <w:t xml:space="preserve"> and analysis</w:t>
      </w:r>
      <w:r w:rsidRPr="00BD3F27">
        <w:rPr>
          <w:color w:val="000000" w:themeColor="text1"/>
        </w:rPr>
        <w:t xml:space="preserve">, except for Cuxhaven that was assigned to Alde. </w:t>
      </w:r>
    </w:p>
    <w:p w:rsidR="00BA4259" w:rsidRPr="00BD3F27" w:rsidRDefault="00BA4259" w:rsidP="00BA4259">
      <w:pPr>
        <w:spacing w:line="480" w:lineRule="auto"/>
        <w:jc w:val="both"/>
        <w:rPr>
          <w:color w:val="000000" w:themeColor="text1"/>
        </w:rPr>
      </w:pPr>
    </w:p>
    <w:p w:rsidR="00BA4259" w:rsidRPr="00BD3F27" w:rsidRDefault="00BA4259" w:rsidP="00BA4259">
      <w:pPr>
        <w:spacing w:line="480" w:lineRule="auto"/>
        <w:jc w:val="both"/>
        <w:rPr>
          <w:color w:val="000000" w:themeColor="text1"/>
        </w:rPr>
      </w:pPr>
      <w:r w:rsidRPr="00BD3F27">
        <w:rPr>
          <w:color w:val="000000" w:themeColor="text1"/>
        </w:rPr>
        <w:t>Blast2GO analyses (</w:t>
      </w:r>
      <w:r w:rsidR="00D4073F" w:rsidRPr="00BD3F27">
        <w:rPr>
          <w:color w:val="000000" w:themeColor="text1"/>
        </w:rPr>
        <w:t>Text S1</w:t>
      </w:r>
      <w:r w:rsidR="00A91923" w:rsidRPr="00BD3F27">
        <w:rPr>
          <w:color w:val="000000" w:themeColor="text1"/>
        </w:rPr>
        <w:t>, Figure 1</w:t>
      </w:r>
      <w:r w:rsidRPr="00BD3F27">
        <w:rPr>
          <w:color w:val="000000" w:themeColor="text1"/>
        </w:rPr>
        <w:t xml:space="preserve">) showed increased representation of GO terms related to hormone metabolism in </w:t>
      </w:r>
      <w:proofErr w:type="spellStart"/>
      <w:r w:rsidRPr="00BD3F27">
        <w:rPr>
          <w:color w:val="000000" w:themeColor="text1"/>
        </w:rPr>
        <w:t>Brunsbuttel</w:t>
      </w:r>
      <w:proofErr w:type="spellEnd"/>
      <w:r w:rsidRPr="00BD3F27">
        <w:rPr>
          <w:color w:val="000000" w:themeColor="text1"/>
        </w:rPr>
        <w:t xml:space="preserve">, </w:t>
      </w:r>
      <w:proofErr w:type="spellStart"/>
      <w:r w:rsidRPr="00BD3F27">
        <w:rPr>
          <w:color w:val="000000" w:themeColor="text1"/>
        </w:rPr>
        <w:t>xenobiotic</w:t>
      </w:r>
      <w:proofErr w:type="spellEnd"/>
      <w:r w:rsidRPr="00BD3F27">
        <w:rPr>
          <w:color w:val="000000" w:themeColor="text1"/>
        </w:rPr>
        <w:t xml:space="preserve"> and glutathione metabolism and ATP synthesis in Morecambe Bay and metal ion homeostasis in Tyne, Cuxhaven and Morecambe Bay. Cell cycle was over-represented amongst repressed transcripts at Helgoland, as were ER, ATP synthesis and metal ion homeostasis at </w:t>
      </w:r>
      <w:proofErr w:type="spellStart"/>
      <w:r w:rsidRPr="00BD3F27">
        <w:rPr>
          <w:color w:val="000000" w:themeColor="text1"/>
        </w:rPr>
        <w:t>Brunsbuttel</w:t>
      </w:r>
      <w:proofErr w:type="spellEnd"/>
      <w:r w:rsidRPr="00BD3F27">
        <w:rPr>
          <w:color w:val="000000" w:themeColor="text1"/>
        </w:rPr>
        <w:t xml:space="preserve">. A number of terms related to transcription </w:t>
      </w:r>
      <w:proofErr w:type="gramStart"/>
      <w:r w:rsidRPr="00BD3F27">
        <w:rPr>
          <w:color w:val="000000" w:themeColor="text1"/>
        </w:rPr>
        <w:t>and</w:t>
      </w:r>
      <w:proofErr w:type="gramEnd"/>
      <w:r w:rsidRPr="00BD3F27">
        <w:rPr>
          <w:color w:val="000000" w:themeColor="text1"/>
        </w:rPr>
        <w:t xml:space="preserve"> translation were less common than expected amongst induced transcripts at the FRG sites and Mersey. </w:t>
      </w:r>
    </w:p>
    <w:p w:rsidR="00D76A6F" w:rsidRPr="00BD3F27" w:rsidRDefault="00D76A6F" w:rsidP="00BA4259">
      <w:pPr>
        <w:spacing w:line="480" w:lineRule="auto"/>
        <w:jc w:val="both"/>
        <w:rPr>
          <w:color w:val="000000" w:themeColor="text1"/>
        </w:rPr>
      </w:pPr>
    </w:p>
    <w:p w:rsidR="00BA4259" w:rsidRPr="00BD3F27" w:rsidRDefault="00BA4259" w:rsidP="00BA4259">
      <w:pPr>
        <w:spacing w:line="480" w:lineRule="auto"/>
        <w:jc w:val="both"/>
        <w:rPr>
          <w:color w:val="000000" w:themeColor="text1"/>
        </w:rPr>
      </w:pPr>
      <w:r w:rsidRPr="00BD3F27">
        <w:rPr>
          <w:color w:val="000000" w:themeColor="text1"/>
        </w:rPr>
        <w:lastRenderedPageBreak/>
        <w:t xml:space="preserve">Genes and metabolites that were significantly different between sites and whose means by site positively correlated with sediment chemistry and fish liver chemistry and those passing T-tests at FDR&lt;0.05 based on </w:t>
      </w:r>
      <w:proofErr w:type="spellStart"/>
      <w:r w:rsidRPr="00BD3F27">
        <w:rPr>
          <w:color w:val="000000" w:themeColor="text1"/>
        </w:rPr>
        <w:t>histopathlogy</w:t>
      </w:r>
      <w:proofErr w:type="spellEnd"/>
      <w:r w:rsidRPr="00BD3F27">
        <w:rPr>
          <w:color w:val="000000" w:themeColor="text1"/>
        </w:rPr>
        <w:t xml:space="preserve"> and biomarker quartile comparisons are shown in </w:t>
      </w:r>
      <w:r w:rsidR="00D4073F" w:rsidRPr="00BD3F27">
        <w:rPr>
          <w:color w:val="000000" w:themeColor="text1"/>
        </w:rPr>
        <w:t>Table S2</w:t>
      </w:r>
      <w:r w:rsidRPr="00BD3F27">
        <w:rPr>
          <w:color w:val="000000" w:themeColor="text1"/>
        </w:rPr>
        <w:t xml:space="preserve">. Notably, CYP1A was highly correlated (r&gt;0.835) with sediment PAH concentration, but also correlated with Cd, Cu, Hg and Zn. </w:t>
      </w:r>
      <w:proofErr w:type="spellStart"/>
      <w:r w:rsidRPr="00BD3F27">
        <w:rPr>
          <w:color w:val="000000" w:themeColor="text1"/>
        </w:rPr>
        <w:t>Ceruloplasmin</w:t>
      </w:r>
      <w:proofErr w:type="spellEnd"/>
      <w:r w:rsidRPr="00BD3F27">
        <w:rPr>
          <w:color w:val="000000" w:themeColor="text1"/>
        </w:rPr>
        <w:t xml:space="preserve"> was correlated with Hg and metabolites glutamine, </w:t>
      </w:r>
      <w:proofErr w:type="spellStart"/>
      <w:r w:rsidRPr="00BD3F27">
        <w:rPr>
          <w:color w:val="000000" w:themeColor="text1"/>
        </w:rPr>
        <w:t>malonate</w:t>
      </w:r>
      <w:proofErr w:type="spellEnd"/>
      <w:r w:rsidRPr="00BD3F27">
        <w:rPr>
          <w:color w:val="000000" w:themeColor="text1"/>
        </w:rPr>
        <w:t>, glucose and N</w:t>
      </w:r>
      <w:proofErr w:type="gramStart"/>
      <w:r w:rsidRPr="00BD3F27">
        <w:rPr>
          <w:color w:val="000000" w:themeColor="text1"/>
        </w:rPr>
        <w:t>,N</w:t>
      </w:r>
      <w:proofErr w:type="gramEnd"/>
      <w:r w:rsidRPr="00BD3F27">
        <w:rPr>
          <w:color w:val="000000" w:themeColor="text1"/>
        </w:rPr>
        <w:t>-</w:t>
      </w:r>
      <w:proofErr w:type="spellStart"/>
      <w:r w:rsidRPr="00BD3F27">
        <w:rPr>
          <w:color w:val="000000" w:themeColor="text1"/>
        </w:rPr>
        <w:t>dimethylglycine</w:t>
      </w:r>
      <w:proofErr w:type="spellEnd"/>
      <w:r w:rsidRPr="00BD3F27">
        <w:rPr>
          <w:color w:val="000000" w:themeColor="text1"/>
        </w:rPr>
        <w:t xml:space="preserve"> with PCB. Glutamine correlated with fish liver PCBs, as did </w:t>
      </w:r>
      <w:proofErr w:type="spellStart"/>
      <w:r w:rsidRPr="00BD3F27">
        <w:rPr>
          <w:color w:val="000000" w:themeColor="text1"/>
        </w:rPr>
        <w:t>cyclin</w:t>
      </w:r>
      <w:proofErr w:type="spellEnd"/>
      <w:r w:rsidRPr="00BD3F27">
        <w:rPr>
          <w:color w:val="000000" w:themeColor="text1"/>
        </w:rPr>
        <w:t xml:space="preserve"> G1, AKR1A1, haemoglobins and microsomal GST1 amongst others. Functions significantly enriched amongst genes and metabolites based on histopathology are shown in Table 3. These include associations between </w:t>
      </w:r>
      <w:proofErr w:type="spellStart"/>
      <w:r w:rsidRPr="00BD3F27">
        <w:rPr>
          <w:color w:val="000000" w:themeColor="text1"/>
        </w:rPr>
        <w:t>phospholipidosis</w:t>
      </w:r>
      <w:proofErr w:type="spellEnd"/>
      <w:r w:rsidRPr="00BD3F27">
        <w:rPr>
          <w:color w:val="000000" w:themeColor="text1"/>
        </w:rPr>
        <w:t xml:space="preserve"> and liver </w:t>
      </w:r>
      <w:proofErr w:type="spellStart"/>
      <w:r w:rsidRPr="00BD3F27">
        <w:rPr>
          <w:color w:val="000000" w:themeColor="text1"/>
        </w:rPr>
        <w:t>cholestasis</w:t>
      </w:r>
      <w:proofErr w:type="spellEnd"/>
      <w:r w:rsidRPr="00BD3F27">
        <w:rPr>
          <w:color w:val="000000" w:themeColor="text1"/>
        </w:rPr>
        <w:t xml:space="preserve"> and </w:t>
      </w:r>
      <w:proofErr w:type="spellStart"/>
      <w:r w:rsidRPr="00BD3F27">
        <w:rPr>
          <w:color w:val="000000" w:themeColor="text1"/>
        </w:rPr>
        <w:t>steatohepatitis</w:t>
      </w:r>
      <w:proofErr w:type="spellEnd"/>
      <w:r w:rsidRPr="00BD3F27">
        <w:rPr>
          <w:color w:val="000000" w:themeColor="text1"/>
        </w:rPr>
        <w:t xml:space="preserve">, oxidative stress and xenobiotic metabolism, intersex with oxidative stress and mitochondrial dysfunction, </w:t>
      </w:r>
      <w:proofErr w:type="spellStart"/>
      <w:r w:rsidRPr="00BD3F27">
        <w:rPr>
          <w:color w:val="000000" w:themeColor="text1"/>
        </w:rPr>
        <w:t>vacuolar</w:t>
      </w:r>
      <w:proofErr w:type="spellEnd"/>
      <w:r w:rsidRPr="00BD3F27">
        <w:rPr>
          <w:color w:val="000000" w:themeColor="text1"/>
        </w:rPr>
        <w:t xml:space="preserve"> foci of cellular adhesion </w:t>
      </w:r>
      <w:r w:rsidR="000B0CAB" w:rsidRPr="00BD3F27">
        <w:rPr>
          <w:color w:val="000000" w:themeColor="text1"/>
        </w:rPr>
        <w:t>(FCA) with the acute phase response.</w:t>
      </w:r>
    </w:p>
    <w:p w:rsidR="00BA4259" w:rsidRPr="00BD3F27" w:rsidRDefault="00BA4259" w:rsidP="00BA4259">
      <w:pPr>
        <w:spacing w:line="480" w:lineRule="auto"/>
        <w:jc w:val="both"/>
        <w:rPr>
          <w:color w:val="000000" w:themeColor="text1"/>
        </w:rPr>
      </w:pPr>
    </w:p>
    <w:p w:rsidR="005172C1" w:rsidRPr="00BD3F27" w:rsidRDefault="005172C1" w:rsidP="00BA4259">
      <w:pPr>
        <w:spacing w:line="480" w:lineRule="auto"/>
        <w:jc w:val="both"/>
        <w:rPr>
          <w:rFonts w:ascii="Arial" w:hAnsi="Arial" w:cs="Arial"/>
          <w:b/>
          <w:color w:val="000000" w:themeColor="text1"/>
        </w:rPr>
      </w:pPr>
      <w:r w:rsidRPr="00BD3F27">
        <w:rPr>
          <w:rFonts w:ascii="Arial" w:hAnsi="Arial" w:cs="Arial"/>
          <w:b/>
          <w:color w:val="000000" w:themeColor="text1"/>
        </w:rPr>
        <w:t>g- Description of Ingenuity Networks</w:t>
      </w:r>
    </w:p>
    <w:p w:rsidR="005172C1" w:rsidRPr="00BD3F27" w:rsidRDefault="005172C1" w:rsidP="005172C1">
      <w:pPr>
        <w:spacing w:line="480" w:lineRule="auto"/>
        <w:jc w:val="both"/>
        <w:rPr>
          <w:color w:val="000000" w:themeColor="text1"/>
        </w:rPr>
      </w:pPr>
      <w:r w:rsidRPr="00BD3F27">
        <w:rPr>
          <w:color w:val="000000" w:themeColor="text1"/>
        </w:rPr>
        <w:t>The most significant network generated by Ingenuity from group A, (Figure</w:t>
      </w:r>
      <w:r w:rsidR="00D4073F" w:rsidRPr="00BD3F27">
        <w:rPr>
          <w:color w:val="000000" w:themeColor="text1"/>
        </w:rPr>
        <w:t>s</w:t>
      </w:r>
      <w:r w:rsidRPr="00BD3F27">
        <w:rPr>
          <w:color w:val="000000" w:themeColor="text1"/>
        </w:rPr>
        <w:t xml:space="preserve"> 6A</w:t>
      </w:r>
      <w:r w:rsidR="00A91923" w:rsidRPr="00BD3F27">
        <w:rPr>
          <w:color w:val="000000" w:themeColor="text1"/>
        </w:rPr>
        <w:t xml:space="preserve"> </w:t>
      </w:r>
      <w:r w:rsidR="00D4073F" w:rsidRPr="00BD3F27">
        <w:rPr>
          <w:color w:val="000000" w:themeColor="text1"/>
        </w:rPr>
        <w:t>and S3</w:t>
      </w:r>
      <w:r w:rsidR="00A91923" w:rsidRPr="00BD3F27">
        <w:rPr>
          <w:color w:val="000000" w:themeColor="text1"/>
        </w:rPr>
        <w:t>A1</w:t>
      </w:r>
      <w:r w:rsidRPr="00BD3F27">
        <w:rPr>
          <w:color w:val="000000" w:themeColor="text1"/>
        </w:rPr>
        <w:t xml:space="preserve">) showed down-regulation of </w:t>
      </w:r>
      <w:proofErr w:type="spellStart"/>
      <w:r w:rsidRPr="00BD3F27">
        <w:rPr>
          <w:color w:val="000000" w:themeColor="text1"/>
        </w:rPr>
        <w:t>proteasomal</w:t>
      </w:r>
      <w:proofErr w:type="spellEnd"/>
      <w:r w:rsidRPr="00BD3F27">
        <w:rPr>
          <w:color w:val="000000" w:themeColor="text1"/>
        </w:rPr>
        <w:t xml:space="preserve"> subunit transcripts in </w:t>
      </w:r>
      <w:proofErr w:type="spellStart"/>
      <w:r w:rsidRPr="00BD3F27">
        <w:rPr>
          <w:color w:val="000000" w:themeColor="text1"/>
        </w:rPr>
        <w:t>Brunsbuttel</w:t>
      </w:r>
      <w:proofErr w:type="spellEnd"/>
      <w:r w:rsidRPr="00BD3F27">
        <w:rPr>
          <w:color w:val="000000" w:themeColor="text1"/>
        </w:rPr>
        <w:t xml:space="preserve"> fish, linked with a </w:t>
      </w:r>
      <w:proofErr w:type="spellStart"/>
      <w:r w:rsidRPr="00BD3F27">
        <w:rPr>
          <w:color w:val="000000" w:themeColor="text1"/>
        </w:rPr>
        <w:t>downregulation</w:t>
      </w:r>
      <w:proofErr w:type="spellEnd"/>
      <w:r w:rsidRPr="00BD3F27">
        <w:rPr>
          <w:color w:val="000000" w:themeColor="text1"/>
        </w:rPr>
        <w:t xml:space="preserve"> of </w:t>
      </w:r>
      <w:proofErr w:type="spellStart"/>
      <w:r w:rsidRPr="00BD3F27">
        <w:rPr>
          <w:color w:val="000000" w:themeColor="text1"/>
        </w:rPr>
        <w:t>proteasome</w:t>
      </w:r>
      <w:proofErr w:type="spellEnd"/>
      <w:r w:rsidRPr="00BD3F27">
        <w:rPr>
          <w:color w:val="000000" w:themeColor="text1"/>
        </w:rPr>
        <w:t xml:space="preserve"> maturation protein (POMP). In the network, the modulation of the </w:t>
      </w:r>
      <w:proofErr w:type="spellStart"/>
      <w:r w:rsidRPr="00BD3F27">
        <w:rPr>
          <w:color w:val="000000" w:themeColor="text1"/>
        </w:rPr>
        <w:t>proteosomal</w:t>
      </w:r>
      <w:proofErr w:type="spellEnd"/>
      <w:r w:rsidRPr="00BD3F27">
        <w:rPr>
          <w:color w:val="000000" w:themeColor="text1"/>
        </w:rPr>
        <w:t xml:space="preserve"> complex is directly linked to the nuclear factor kappa B (NF kappa B) transcriptional complex.</w:t>
      </w:r>
    </w:p>
    <w:p w:rsidR="005172C1" w:rsidRPr="00BD3F27" w:rsidRDefault="005172C1" w:rsidP="005172C1">
      <w:pPr>
        <w:spacing w:line="480" w:lineRule="auto"/>
        <w:jc w:val="both"/>
        <w:rPr>
          <w:color w:val="000000" w:themeColor="text1"/>
        </w:rPr>
      </w:pPr>
    </w:p>
    <w:p w:rsidR="005172C1" w:rsidRPr="00BD3F27" w:rsidRDefault="00D4073F" w:rsidP="005172C1">
      <w:pPr>
        <w:spacing w:line="480" w:lineRule="auto"/>
        <w:jc w:val="both"/>
        <w:rPr>
          <w:color w:val="000000" w:themeColor="text1"/>
        </w:rPr>
      </w:pPr>
      <w:r w:rsidRPr="00BD3F27">
        <w:rPr>
          <w:color w:val="000000" w:themeColor="text1"/>
        </w:rPr>
        <w:t>Figure S3</w:t>
      </w:r>
      <w:r w:rsidR="005172C1" w:rsidRPr="00BD3F27">
        <w:rPr>
          <w:color w:val="000000" w:themeColor="text1"/>
        </w:rPr>
        <w:t xml:space="preserve">A2 represents several gene-metabolite interactions related to energy pathways (glucose, lactic and </w:t>
      </w:r>
      <w:proofErr w:type="spellStart"/>
      <w:r w:rsidR="005172C1" w:rsidRPr="00BD3F27">
        <w:rPr>
          <w:color w:val="000000" w:themeColor="text1"/>
        </w:rPr>
        <w:t>malonic</w:t>
      </w:r>
      <w:proofErr w:type="spellEnd"/>
      <w:r w:rsidR="005172C1" w:rsidRPr="00BD3F27">
        <w:rPr>
          <w:color w:val="000000" w:themeColor="text1"/>
        </w:rPr>
        <w:t xml:space="preserve"> acid linked to succinate dehydrogenase and glucose-6-phosphate dehydrogenase) and </w:t>
      </w:r>
      <w:proofErr w:type="spellStart"/>
      <w:r w:rsidR="005172C1" w:rsidRPr="00BD3F27">
        <w:rPr>
          <w:color w:val="000000" w:themeColor="text1"/>
        </w:rPr>
        <w:t>phospholipid</w:t>
      </w:r>
      <w:proofErr w:type="spellEnd"/>
      <w:r w:rsidR="005172C1" w:rsidRPr="00BD3F27">
        <w:rPr>
          <w:color w:val="000000" w:themeColor="text1"/>
        </w:rPr>
        <w:t xml:space="preserve"> biosynthesis (</w:t>
      </w:r>
      <w:proofErr w:type="spellStart"/>
      <w:r w:rsidR="005172C1" w:rsidRPr="00BD3F27">
        <w:rPr>
          <w:color w:val="000000" w:themeColor="text1"/>
        </w:rPr>
        <w:t>choline</w:t>
      </w:r>
      <w:proofErr w:type="spellEnd"/>
      <w:r w:rsidR="005172C1" w:rsidRPr="00BD3F27">
        <w:rPr>
          <w:color w:val="000000" w:themeColor="text1"/>
        </w:rPr>
        <w:t xml:space="preserve">, </w:t>
      </w:r>
      <w:proofErr w:type="spellStart"/>
      <w:r w:rsidR="005172C1" w:rsidRPr="00BD3F27">
        <w:rPr>
          <w:color w:val="000000" w:themeColor="text1"/>
        </w:rPr>
        <w:t>phosphocholine</w:t>
      </w:r>
      <w:proofErr w:type="spellEnd"/>
      <w:r w:rsidR="005172C1" w:rsidRPr="00BD3F27">
        <w:rPr>
          <w:color w:val="000000" w:themeColor="text1"/>
        </w:rPr>
        <w:t xml:space="preserve">). The expression of </w:t>
      </w:r>
      <w:r w:rsidR="005172C1" w:rsidRPr="00BD3F27">
        <w:rPr>
          <w:color w:val="000000" w:themeColor="text1"/>
        </w:rPr>
        <w:lastRenderedPageBreak/>
        <w:t xml:space="preserve">energy-related enzymes and metabolites is linked to insulin, low-density lipoprotein, a protein kinase cascade consisting of extracellular signal-related kinase (ERK1) and protein kinase C and the immediate-early stress response factor Ap1. More specifically, the Ap1 response appeared to be mediated by </w:t>
      </w:r>
      <w:proofErr w:type="spellStart"/>
      <w:r w:rsidR="005172C1" w:rsidRPr="00BD3F27">
        <w:rPr>
          <w:color w:val="000000" w:themeColor="text1"/>
        </w:rPr>
        <w:t>nucleophosmin</w:t>
      </w:r>
      <w:proofErr w:type="spellEnd"/>
      <w:r w:rsidR="005172C1" w:rsidRPr="00BD3F27">
        <w:rPr>
          <w:color w:val="000000" w:themeColor="text1"/>
        </w:rPr>
        <w:t xml:space="preserve"> via ADP-</w:t>
      </w:r>
      <w:proofErr w:type="spellStart"/>
      <w:r w:rsidR="005172C1" w:rsidRPr="00BD3F27">
        <w:rPr>
          <w:color w:val="000000" w:themeColor="text1"/>
        </w:rPr>
        <w:t>ribosylation</w:t>
      </w:r>
      <w:proofErr w:type="spellEnd"/>
      <w:r w:rsidR="005172C1" w:rsidRPr="00BD3F27">
        <w:rPr>
          <w:color w:val="000000" w:themeColor="text1"/>
        </w:rPr>
        <w:t xml:space="preserve"> factor (</w:t>
      </w:r>
      <w:proofErr w:type="spellStart"/>
      <w:r w:rsidR="005172C1" w:rsidRPr="00BD3F27">
        <w:rPr>
          <w:color w:val="000000" w:themeColor="text1"/>
        </w:rPr>
        <w:t>Arf</w:t>
      </w:r>
      <w:proofErr w:type="spellEnd"/>
      <w:r w:rsidR="005172C1" w:rsidRPr="00BD3F27">
        <w:rPr>
          <w:color w:val="000000" w:themeColor="text1"/>
        </w:rPr>
        <w:t xml:space="preserve">). </w:t>
      </w:r>
      <w:r w:rsidRPr="00BD3F27">
        <w:rPr>
          <w:color w:val="000000" w:themeColor="text1"/>
        </w:rPr>
        <w:t>Figure S3</w:t>
      </w:r>
      <w:r w:rsidR="00A91923" w:rsidRPr="00BD3F27">
        <w:rPr>
          <w:color w:val="000000" w:themeColor="text1"/>
        </w:rPr>
        <w:t xml:space="preserve">A3 </w:t>
      </w:r>
      <w:r w:rsidR="005172C1" w:rsidRPr="00BD3F27">
        <w:rPr>
          <w:color w:val="000000" w:themeColor="text1"/>
        </w:rPr>
        <w:t xml:space="preserve">represented a partially endocrine-driven response, with follicle stimulating hormone and luteinizing hormone inferred to act via protein kinases upon RNA polymerase II and associated transcriptional mediator proteins. These were linked with repression of heat shock proteins and tubulins. </w:t>
      </w:r>
      <w:r w:rsidRPr="00BD3F27">
        <w:rPr>
          <w:color w:val="000000" w:themeColor="text1"/>
        </w:rPr>
        <w:t>Figure S3</w:t>
      </w:r>
      <w:r w:rsidR="005172C1" w:rsidRPr="00BD3F27">
        <w:rPr>
          <w:color w:val="000000" w:themeColor="text1"/>
        </w:rPr>
        <w:t xml:space="preserve">A4 again highlighted implied effects of insulin, either independently or via the glucose transporter SLC2A4. Genes affected included those encoding protein trafficking molecules (SEC22B, TMED10) and mitochondrial cytochrome oxidases (COX4I1, 7A2). </w:t>
      </w:r>
      <w:r w:rsidRPr="00BD3F27">
        <w:rPr>
          <w:color w:val="000000" w:themeColor="text1"/>
        </w:rPr>
        <w:t>Figure S3</w:t>
      </w:r>
      <w:r w:rsidR="005172C1" w:rsidRPr="00BD3F27">
        <w:rPr>
          <w:color w:val="000000" w:themeColor="text1"/>
        </w:rPr>
        <w:t>A5 illustrated an interaction between the pro-inflammatory tumour necrosis factor (TNF) and oxidative stress (peroxide). Both metabolites (</w:t>
      </w:r>
      <w:proofErr w:type="spellStart"/>
      <w:r w:rsidR="005172C1" w:rsidRPr="00BD3F27">
        <w:rPr>
          <w:color w:val="000000" w:themeColor="text1"/>
        </w:rPr>
        <w:t>glycine</w:t>
      </w:r>
      <w:proofErr w:type="spellEnd"/>
      <w:r w:rsidR="005172C1" w:rsidRPr="00BD3F27">
        <w:rPr>
          <w:color w:val="000000" w:themeColor="text1"/>
        </w:rPr>
        <w:t xml:space="preserve">, </w:t>
      </w:r>
      <w:proofErr w:type="spellStart"/>
      <w:r w:rsidR="005172C1" w:rsidRPr="00BD3F27">
        <w:rPr>
          <w:color w:val="000000" w:themeColor="text1"/>
        </w:rPr>
        <w:t>dimethylglycine</w:t>
      </w:r>
      <w:proofErr w:type="spellEnd"/>
      <w:r w:rsidR="005172C1" w:rsidRPr="00BD3F27">
        <w:rPr>
          <w:color w:val="000000" w:themeColor="text1"/>
        </w:rPr>
        <w:t xml:space="preserve">) and transcripts (eukaryotic translation initiation factors) were affected and there was potential interaction with androgens, with the inferred presence of </w:t>
      </w:r>
      <w:proofErr w:type="spellStart"/>
      <w:r w:rsidR="005172C1" w:rsidRPr="00BD3F27">
        <w:rPr>
          <w:color w:val="000000" w:themeColor="text1"/>
        </w:rPr>
        <w:t>dihydrotestosterone</w:t>
      </w:r>
      <w:proofErr w:type="spellEnd"/>
      <w:r w:rsidR="005172C1" w:rsidRPr="00BD3F27">
        <w:rPr>
          <w:color w:val="000000" w:themeColor="text1"/>
        </w:rPr>
        <w:t xml:space="preserve"> within the network. </w:t>
      </w:r>
      <w:r w:rsidRPr="00BD3F27">
        <w:rPr>
          <w:color w:val="000000" w:themeColor="text1"/>
        </w:rPr>
        <w:t>Figure S3</w:t>
      </w:r>
      <w:r w:rsidR="005172C1" w:rsidRPr="00BD3F27">
        <w:rPr>
          <w:color w:val="000000" w:themeColor="text1"/>
        </w:rPr>
        <w:t xml:space="preserve">A6 showed a number of hepatocyte nuclear factor 4A (HNF4A) –responsive genes, with nuclear interactions between HNF4A and </w:t>
      </w:r>
      <w:proofErr w:type="spellStart"/>
      <w:r w:rsidR="005172C1" w:rsidRPr="00BD3F27">
        <w:rPr>
          <w:color w:val="000000" w:themeColor="text1"/>
        </w:rPr>
        <w:t>estrogen</w:t>
      </w:r>
      <w:proofErr w:type="spellEnd"/>
      <w:r w:rsidR="005172C1" w:rsidRPr="00BD3F27">
        <w:rPr>
          <w:color w:val="000000" w:themeColor="text1"/>
        </w:rPr>
        <w:t xml:space="preserve"> receptor alpha (ESR1), and a potential link to circulating levels of </w:t>
      </w:r>
      <w:proofErr w:type="spellStart"/>
      <w:r w:rsidR="005172C1" w:rsidRPr="00BD3F27">
        <w:rPr>
          <w:color w:val="000000" w:themeColor="text1"/>
        </w:rPr>
        <w:t>estrogen</w:t>
      </w:r>
      <w:proofErr w:type="spellEnd"/>
      <w:r w:rsidR="005172C1" w:rsidRPr="00BD3F27">
        <w:rPr>
          <w:color w:val="000000" w:themeColor="text1"/>
        </w:rPr>
        <w:t xml:space="preserve"> sulphate. </w:t>
      </w:r>
      <w:r w:rsidRPr="00BD3F27">
        <w:rPr>
          <w:color w:val="000000" w:themeColor="text1"/>
        </w:rPr>
        <w:t>Figure S3</w:t>
      </w:r>
      <w:r w:rsidR="005172C1" w:rsidRPr="00BD3F27">
        <w:rPr>
          <w:color w:val="000000" w:themeColor="text1"/>
        </w:rPr>
        <w:t xml:space="preserve">A7 suggested an interaction between vascular endothelial growth factor A (VEGFA) and key nuclear regulators of the cell cycle, DNA damage response and </w:t>
      </w:r>
      <w:proofErr w:type="spellStart"/>
      <w:r w:rsidR="005172C1" w:rsidRPr="00BD3F27">
        <w:rPr>
          <w:color w:val="000000" w:themeColor="text1"/>
        </w:rPr>
        <w:t>oncogenesis</w:t>
      </w:r>
      <w:proofErr w:type="spellEnd"/>
      <w:r w:rsidR="005172C1" w:rsidRPr="00BD3F27">
        <w:rPr>
          <w:color w:val="000000" w:themeColor="text1"/>
        </w:rPr>
        <w:t xml:space="preserve">, including TP53, MYC and CDKN1A. </w:t>
      </w:r>
      <w:r w:rsidRPr="00BD3F27">
        <w:rPr>
          <w:color w:val="000000" w:themeColor="text1"/>
        </w:rPr>
        <w:t>Figure S3</w:t>
      </w:r>
      <w:r w:rsidR="005172C1" w:rsidRPr="00BD3F27">
        <w:rPr>
          <w:color w:val="000000" w:themeColor="text1"/>
        </w:rPr>
        <w:t xml:space="preserve">A8 </w:t>
      </w:r>
      <w:r w:rsidR="00A91923" w:rsidRPr="00BD3F27">
        <w:rPr>
          <w:color w:val="000000" w:themeColor="text1"/>
        </w:rPr>
        <w:t xml:space="preserve">showed </w:t>
      </w:r>
      <w:r w:rsidR="005172C1" w:rsidRPr="00BD3F27">
        <w:rPr>
          <w:color w:val="000000" w:themeColor="text1"/>
        </w:rPr>
        <w:t xml:space="preserve">responses linked to the cytokine interleukin 4 (IL4) and transforming growth factor beta 1 (TGFB1) , affecting cytosolic target genes and metabolites and again linking to cell cycle and DNA-damage response -related genes such as </w:t>
      </w:r>
      <w:proofErr w:type="spellStart"/>
      <w:r w:rsidR="005172C1" w:rsidRPr="00BD3F27">
        <w:rPr>
          <w:color w:val="000000" w:themeColor="text1"/>
        </w:rPr>
        <w:t>cyclin</w:t>
      </w:r>
      <w:proofErr w:type="spellEnd"/>
      <w:r w:rsidR="005172C1" w:rsidRPr="00BD3F27">
        <w:rPr>
          <w:color w:val="000000" w:themeColor="text1"/>
        </w:rPr>
        <w:t xml:space="preserve"> dependent </w:t>
      </w:r>
      <w:proofErr w:type="spellStart"/>
      <w:r w:rsidR="005172C1" w:rsidRPr="00BD3F27">
        <w:rPr>
          <w:color w:val="000000" w:themeColor="text1"/>
        </w:rPr>
        <w:t>kinase</w:t>
      </w:r>
      <w:proofErr w:type="spellEnd"/>
      <w:r w:rsidR="005172C1" w:rsidRPr="00BD3F27">
        <w:rPr>
          <w:color w:val="000000" w:themeColor="text1"/>
        </w:rPr>
        <w:t xml:space="preserve"> 1 (CDK1) and </w:t>
      </w:r>
      <w:r w:rsidR="005172C1" w:rsidRPr="00BD3F27">
        <w:rPr>
          <w:bCs/>
          <w:color w:val="000000" w:themeColor="text1"/>
        </w:rPr>
        <w:t xml:space="preserve">structure specific recognition protein 1 (SSRP1). </w:t>
      </w:r>
    </w:p>
    <w:p w:rsidR="005172C1" w:rsidRPr="00BD3F27" w:rsidRDefault="005172C1" w:rsidP="005172C1">
      <w:pPr>
        <w:spacing w:line="480" w:lineRule="auto"/>
        <w:jc w:val="both"/>
        <w:rPr>
          <w:bCs/>
          <w:color w:val="000000" w:themeColor="text1"/>
        </w:rPr>
      </w:pPr>
    </w:p>
    <w:p w:rsidR="005172C1" w:rsidRPr="00BD3F27" w:rsidRDefault="005172C1" w:rsidP="005172C1">
      <w:pPr>
        <w:spacing w:line="480" w:lineRule="auto"/>
        <w:jc w:val="both"/>
        <w:rPr>
          <w:color w:val="000000" w:themeColor="text1"/>
        </w:rPr>
      </w:pPr>
      <w:r w:rsidRPr="00BD3F27">
        <w:rPr>
          <w:bCs/>
          <w:color w:val="000000" w:themeColor="text1"/>
        </w:rPr>
        <w:t>Figure 6B</w:t>
      </w:r>
      <w:r w:rsidR="00A91923" w:rsidRPr="00BD3F27">
        <w:rPr>
          <w:bCs/>
          <w:color w:val="000000" w:themeColor="text1"/>
        </w:rPr>
        <w:t xml:space="preserve"> (</w:t>
      </w:r>
      <w:r w:rsidR="00D4073F" w:rsidRPr="00BD3F27">
        <w:rPr>
          <w:bCs/>
          <w:color w:val="000000" w:themeColor="text1"/>
        </w:rPr>
        <w:t>Figure S3</w:t>
      </w:r>
      <w:r w:rsidR="00A91923" w:rsidRPr="00BD3F27">
        <w:rPr>
          <w:bCs/>
          <w:color w:val="000000" w:themeColor="text1"/>
        </w:rPr>
        <w:t>B1)</w:t>
      </w:r>
      <w:r w:rsidRPr="00BD3F27">
        <w:rPr>
          <w:bCs/>
          <w:color w:val="000000" w:themeColor="text1"/>
        </w:rPr>
        <w:t xml:space="preserve"> shows the most significant network generated from module 40, group B of the site-predictive modules. This showed a complex picture involving a highly interlinked cytosolic protein kinase cascade linked to nuclear transcription factors including </w:t>
      </w:r>
      <w:proofErr w:type="spellStart"/>
      <w:proofErr w:type="gramStart"/>
      <w:r w:rsidRPr="00BD3F27">
        <w:rPr>
          <w:bCs/>
          <w:color w:val="000000" w:themeColor="text1"/>
        </w:rPr>
        <w:t>Nf</w:t>
      </w:r>
      <w:proofErr w:type="spellEnd"/>
      <w:proofErr w:type="gramEnd"/>
      <w:r w:rsidRPr="00BD3F27">
        <w:rPr>
          <w:bCs/>
          <w:color w:val="000000" w:themeColor="text1"/>
        </w:rPr>
        <w:t xml:space="preserve"> kappa B, Ap1 and </w:t>
      </w:r>
      <w:proofErr w:type="spellStart"/>
      <w:r w:rsidRPr="00BD3F27">
        <w:rPr>
          <w:bCs/>
          <w:color w:val="000000" w:themeColor="text1"/>
        </w:rPr>
        <w:t>Creb</w:t>
      </w:r>
      <w:proofErr w:type="spellEnd"/>
      <w:r w:rsidRPr="00BD3F27">
        <w:rPr>
          <w:bCs/>
          <w:color w:val="000000" w:themeColor="text1"/>
        </w:rPr>
        <w:t xml:space="preserve">. The extracellular growth factor VEGFA was induced, angiotensinogen was transcriptionally repressed, and platelet derived growth factor (PDGFBB), insulin and LDL </w:t>
      </w:r>
      <w:proofErr w:type="gramStart"/>
      <w:r w:rsidRPr="00BD3F27">
        <w:rPr>
          <w:bCs/>
          <w:color w:val="000000" w:themeColor="text1"/>
        </w:rPr>
        <w:t>were</w:t>
      </w:r>
      <w:proofErr w:type="gramEnd"/>
      <w:r w:rsidRPr="00BD3F27">
        <w:rPr>
          <w:bCs/>
          <w:color w:val="000000" w:themeColor="text1"/>
        </w:rPr>
        <w:t xml:space="preserve"> also predicted to be components of this response. </w:t>
      </w:r>
    </w:p>
    <w:p w:rsidR="005172C1" w:rsidRPr="00BD3F27" w:rsidRDefault="005172C1" w:rsidP="005172C1">
      <w:pPr>
        <w:rPr>
          <w:color w:val="000000" w:themeColor="text1"/>
        </w:rPr>
      </w:pPr>
    </w:p>
    <w:p w:rsidR="005172C1" w:rsidRPr="00BD3F27" w:rsidRDefault="005172C1" w:rsidP="00BA4259">
      <w:pPr>
        <w:spacing w:line="480" w:lineRule="auto"/>
        <w:jc w:val="both"/>
        <w:rPr>
          <w:color w:val="000000" w:themeColor="text1"/>
        </w:rPr>
      </w:pPr>
    </w:p>
    <w:p w:rsidR="005172C1" w:rsidRPr="00BD3F27" w:rsidRDefault="005172C1" w:rsidP="00BA4259">
      <w:pPr>
        <w:spacing w:line="480" w:lineRule="auto"/>
        <w:jc w:val="both"/>
        <w:rPr>
          <w:color w:val="000000" w:themeColor="text1"/>
        </w:rPr>
      </w:pPr>
    </w:p>
    <w:p w:rsidR="005D246F" w:rsidRPr="00BD3F27" w:rsidRDefault="005D246F" w:rsidP="00BA4259">
      <w:pPr>
        <w:spacing w:line="480" w:lineRule="auto"/>
        <w:jc w:val="both"/>
        <w:rPr>
          <w:color w:val="000000" w:themeColor="text1"/>
        </w:rPr>
      </w:pPr>
    </w:p>
    <w:p w:rsidR="005D246F" w:rsidRPr="00BD3F27" w:rsidRDefault="009536CE" w:rsidP="00BA4259">
      <w:pPr>
        <w:spacing w:line="480" w:lineRule="auto"/>
        <w:jc w:val="both"/>
        <w:rPr>
          <w:rFonts w:ascii="Arial" w:hAnsi="Arial" w:cs="Arial"/>
          <w:b/>
          <w:color w:val="000000" w:themeColor="text1"/>
        </w:rPr>
      </w:pPr>
      <w:r w:rsidRPr="00BD3F27">
        <w:rPr>
          <w:b/>
          <w:color w:val="000000" w:themeColor="text1"/>
        </w:rPr>
        <w:br w:type="column"/>
      </w:r>
      <w:r w:rsidRPr="00BD3F27">
        <w:rPr>
          <w:rFonts w:ascii="Arial" w:hAnsi="Arial" w:cs="Arial"/>
          <w:b/>
          <w:color w:val="000000" w:themeColor="text1"/>
        </w:rPr>
        <w:lastRenderedPageBreak/>
        <w:t>DISCUSSION</w:t>
      </w:r>
    </w:p>
    <w:p w:rsidR="009536CE" w:rsidRPr="00BD3F27" w:rsidRDefault="009536CE" w:rsidP="005D246F">
      <w:pPr>
        <w:spacing w:line="480" w:lineRule="auto"/>
        <w:jc w:val="both"/>
        <w:rPr>
          <w:color w:val="000000" w:themeColor="text1"/>
        </w:rPr>
      </w:pPr>
    </w:p>
    <w:p w:rsidR="005D246F" w:rsidRPr="00BD3F27" w:rsidRDefault="005D246F" w:rsidP="005D246F">
      <w:pPr>
        <w:spacing w:line="480" w:lineRule="auto"/>
        <w:jc w:val="both"/>
        <w:rPr>
          <w:color w:val="000000" w:themeColor="text1"/>
        </w:rPr>
      </w:pPr>
      <w:r w:rsidRPr="00BD3F27">
        <w:rPr>
          <w:color w:val="000000" w:themeColor="text1"/>
        </w:rPr>
        <w:t xml:space="preserve">Both sediment and fish liver chemical analyses demonstrated that pollutant concentrations exceeded statutory limits, especially at the Tyne, Mersey and </w:t>
      </w:r>
      <w:proofErr w:type="spellStart"/>
      <w:r w:rsidRPr="00BD3F27">
        <w:rPr>
          <w:color w:val="000000" w:themeColor="text1"/>
        </w:rPr>
        <w:t>Brunsbuttel</w:t>
      </w:r>
      <w:proofErr w:type="spellEnd"/>
      <w:r w:rsidRPr="00BD3F27">
        <w:rPr>
          <w:color w:val="000000" w:themeColor="text1"/>
        </w:rPr>
        <w:t xml:space="preserve"> locations. This showed that anthropogenic pollution of the aquatic environment was still of high concern in Western European waters notwithstanding the major advances in regulation and water treatment. There was a lack of correlation between concentrations of metals and PCBs measured in sediment and fish livers. To some extent this may be due to differences in metabolism and excretion, but there is a likelihood that variations in point sources of contamination within an estuary could lead both to specific sediment samples being un-representative of the area, and to high variation in chemical exposure and responses in fish dependent on their recent and historical locations within the estuary. </w:t>
      </w:r>
      <w:r w:rsidR="00CE0201" w:rsidRPr="00BD3F27">
        <w:rPr>
          <w:color w:val="000000" w:themeColor="text1"/>
        </w:rPr>
        <w:t>Due to the lack of chemical measurements for individual fish (which may have been un-representative in many cases due to the</w:t>
      </w:r>
      <w:r w:rsidR="00D86015" w:rsidRPr="00BD3F27">
        <w:rPr>
          <w:color w:val="000000" w:themeColor="text1"/>
        </w:rPr>
        <w:t xml:space="preserve"> lack of connection</w:t>
      </w:r>
      <w:r w:rsidR="00CE0201" w:rsidRPr="00BD3F27">
        <w:rPr>
          <w:color w:val="000000" w:themeColor="text1"/>
        </w:rPr>
        <w:t xml:space="preserve"> between fish liver and sediment chemistry), individual correlations were not possible. A number of genes and metabolites correlated with average concentrations of different toxicants, but these are likely to represent non-specific responses to pollutants, due to the similar profiles for various toxicants between different sites (Table</w:t>
      </w:r>
      <w:r w:rsidR="00D4073F" w:rsidRPr="00BD3F27">
        <w:rPr>
          <w:color w:val="000000" w:themeColor="text1"/>
        </w:rPr>
        <w:t>s</w:t>
      </w:r>
      <w:r w:rsidR="00CE0201" w:rsidRPr="00BD3F27">
        <w:rPr>
          <w:color w:val="000000" w:themeColor="text1"/>
        </w:rPr>
        <w:t xml:space="preserve"> 1</w:t>
      </w:r>
      <w:proofErr w:type="gramStart"/>
      <w:r w:rsidR="00CE0201" w:rsidRPr="00BD3F27">
        <w:rPr>
          <w:color w:val="000000" w:themeColor="text1"/>
        </w:rPr>
        <w:t>,</w:t>
      </w:r>
      <w:r w:rsidR="00D4073F" w:rsidRPr="00BD3F27">
        <w:rPr>
          <w:color w:val="000000" w:themeColor="text1"/>
        </w:rPr>
        <w:t>S2</w:t>
      </w:r>
      <w:proofErr w:type="gramEnd"/>
      <w:r w:rsidR="00CE0201" w:rsidRPr="00BD3F27">
        <w:rPr>
          <w:color w:val="000000" w:themeColor="text1"/>
        </w:rPr>
        <w:t>).</w:t>
      </w:r>
    </w:p>
    <w:p w:rsidR="00CE0201" w:rsidRPr="00BD3F27" w:rsidRDefault="00CE0201" w:rsidP="005D246F">
      <w:pPr>
        <w:spacing w:line="480" w:lineRule="auto"/>
        <w:jc w:val="both"/>
        <w:rPr>
          <w:color w:val="000000" w:themeColor="text1"/>
        </w:rPr>
      </w:pPr>
    </w:p>
    <w:p w:rsidR="005D246F" w:rsidRPr="00BD3F27" w:rsidRDefault="005D246F" w:rsidP="005D246F">
      <w:pPr>
        <w:spacing w:line="480" w:lineRule="auto"/>
        <w:jc w:val="both"/>
        <w:rPr>
          <w:color w:val="000000" w:themeColor="text1"/>
        </w:rPr>
      </w:pPr>
      <w:r w:rsidRPr="00BD3F27">
        <w:rPr>
          <w:color w:val="000000" w:themeColor="text1"/>
        </w:rPr>
        <w:t xml:space="preserve">Liver abnormalities discovered by histopathology proved to be a useful way of classifying flounder sampling sites by broad pollution impact, as has previously been shown </w:t>
      </w:r>
      <w:r w:rsidR="006403E7" w:rsidRPr="00BD3F27">
        <w:rPr>
          <w:color w:val="000000" w:themeColor="text1"/>
        </w:rPr>
        <w:t>[12]</w:t>
      </w:r>
      <w:r w:rsidRPr="00BD3F27">
        <w:rPr>
          <w:color w:val="000000" w:themeColor="text1"/>
        </w:rPr>
        <w:t>. When examined by within-site comparisons, parasite infections were found to alter the expression of a limited set of genes and metabolites (</w:t>
      </w:r>
      <w:r w:rsidR="00D4073F" w:rsidRPr="00BD3F27">
        <w:rPr>
          <w:color w:val="000000" w:themeColor="text1"/>
        </w:rPr>
        <w:t>Table S4</w:t>
      </w:r>
      <w:r w:rsidRPr="00BD3F27">
        <w:rPr>
          <w:color w:val="000000" w:themeColor="text1"/>
        </w:rPr>
        <w:t>), nine of which overlapped with identified genes that were differentially expressed between sites (</w:t>
      </w:r>
      <w:r w:rsidR="00D4073F" w:rsidRPr="00BD3F27">
        <w:rPr>
          <w:color w:val="000000" w:themeColor="text1"/>
        </w:rPr>
        <w:t>Table S1</w:t>
      </w:r>
      <w:r w:rsidRPr="00BD3F27">
        <w:rPr>
          <w:color w:val="000000" w:themeColor="text1"/>
        </w:rPr>
        <w:t xml:space="preserve">). </w:t>
      </w:r>
      <w:r w:rsidR="00003F33" w:rsidRPr="00BD3F27">
        <w:rPr>
          <w:color w:val="000000" w:themeColor="text1"/>
        </w:rPr>
        <w:t xml:space="preserve">Parasites that are carcinogenic to </w:t>
      </w:r>
      <w:r w:rsidR="00003F33" w:rsidRPr="00BD3F27">
        <w:rPr>
          <w:color w:val="000000" w:themeColor="text1"/>
        </w:rPr>
        <w:lastRenderedPageBreak/>
        <w:t xml:space="preserve">humans, such as liver flukes, have been described in fish </w:t>
      </w:r>
      <w:r w:rsidR="006403E7" w:rsidRPr="00BD3F27">
        <w:rPr>
          <w:color w:val="000000" w:themeColor="text1"/>
        </w:rPr>
        <w:t>[13]</w:t>
      </w:r>
      <w:r w:rsidR="00003F33" w:rsidRPr="00BD3F27">
        <w:rPr>
          <w:color w:val="000000" w:themeColor="text1"/>
        </w:rPr>
        <w:t xml:space="preserve"> and parasitic infections of fish can alter oxidative stress parameters </w:t>
      </w:r>
      <w:r w:rsidR="006403E7" w:rsidRPr="00BD3F27">
        <w:rPr>
          <w:color w:val="000000" w:themeColor="text1"/>
        </w:rPr>
        <w:t>[14]</w:t>
      </w:r>
      <w:r w:rsidR="00003F33" w:rsidRPr="00BD3F27">
        <w:rPr>
          <w:color w:val="000000" w:themeColor="text1"/>
        </w:rPr>
        <w:t xml:space="preserve">, </w:t>
      </w:r>
      <w:r w:rsidR="00565C2A" w:rsidRPr="00BD3F27">
        <w:rPr>
          <w:color w:val="000000" w:themeColor="text1"/>
        </w:rPr>
        <w:t xml:space="preserve">while conversely chemical contaminants can suppress immune system function </w:t>
      </w:r>
      <w:r w:rsidR="006403E7" w:rsidRPr="00BD3F27">
        <w:rPr>
          <w:color w:val="000000" w:themeColor="text1"/>
        </w:rPr>
        <w:t>[15]</w:t>
      </w:r>
      <w:r w:rsidR="00565C2A" w:rsidRPr="00BD3F27">
        <w:rPr>
          <w:color w:val="000000" w:themeColor="text1"/>
        </w:rPr>
        <w:t>. Previous studies in flatfish have not demonstrated correlation</w:t>
      </w:r>
      <w:r w:rsidR="00F352CF" w:rsidRPr="00BD3F27">
        <w:rPr>
          <w:color w:val="000000" w:themeColor="text1"/>
        </w:rPr>
        <w:t>s</w:t>
      </w:r>
      <w:r w:rsidR="00565C2A" w:rsidRPr="00BD3F27">
        <w:rPr>
          <w:color w:val="000000" w:themeColor="text1"/>
        </w:rPr>
        <w:t xml:space="preserve"> between tumour incidence and parasite burden </w:t>
      </w:r>
      <w:r w:rsidR="00474094" w:rsidRPr="00BD3F27">
        <w:rPr>
          <w:color w:val="000000" w:themeColor="text1"/>
        </w:rPr>
        <w:t>[12</w:t>
      </w:r>
      <w:proofErr w:type="gramStart"/>
      <w:r w:rsidR="00474094" w:rsidRPr="00BD3F27">
        <w:rPr>
          <w:color w:val="000000" w:themeColor="text1"/>
        </w:rPr>
        <w:t>,15</w:t>
      </w:r>
      <w:proofErr w:type="gramEnd"/>
      <w:r w:rsidR="00474094" w:rsidRPr="00BD3F27">
        <w:rPr>
          <w:color w:val="000000" w:themeColor="text1"/>
        </w:rPr>
        <w:t xml:space="preserve">]. </w:t>
      </w:r>
      <w:r w:rsidR="00F352CF" w:rsidRPr="00BD3F27">
        <w:rPr>
          <w:color w:val="000000" w:themeColor="text1"/>
        </w:rPr>
        <w:t xml:space="preserve">The transcripts that altered with </w:t>
      </w:r>
      <w:proofErr w:type="spellStart"/>
      <w:r w:rsidR="00465FF9" w:rsidRPr="00BD3F27">
        <w:rPr>
          <w:i/>
          <w:color w:val="000000" w:themeColor="text1"/>
        </w:rPr>
        <w:t>Lepeophtheirus</w:t>
      </w:r>
      <w:proofErr w:type="spellEnd"/>
      <w:r w:rsidR="00465FF9" w:rsidRPr="00BD3F27">
        <w:rPr>
          <w:i/>
          <w:color w:val="000000" w:themeColor="text1"/>
        </w:rPr>
        <w:t xml:space="preserve"> </w:t>
      </w:r>
      <w:r w:rsidR="00F352CF" w:rsidRPr="00BD3F27">
        <w:rPr>
          <w:color w:val="000000" w:themeColor="text1"/>
        </w:rPr>
        <w:t>infection (</w:t>
      </w:r>
      <w:r w:rsidR="00D4073F" w:rsidRPr="00BD3F27">
        <w:rPr>
          <w:color w:val="000000" w:themeColor="text1"/>
        </w:rPr>
        <w:t>Table S4</w:t>
      </w:r>
      <w:r w:rsidR="00F352CF" w:rsidRPr="00BD3F27">
        <w:rPr>
          <w:color w:val="000000" w:themeColor="text1"/>
        </w:rPr>
        <w:t xml:space="preserve">) do suggest some interaction with mechanisms of carcinogenesis. For example a </w:t>
      </w:r>
      <w:proofErr w:type="spellStart"/>
      <w:r w:rsidR="00F352CF" w:rsidRPr="00BD3F27">
        <w:rPr>
          <w:color w:val="000000" w:themeColor="text1"/>
        </w:rPr>
        <w:t>cyclin</w:t>
      </w:r>
      <w:proofErr w:type="spellEnd"/>
      <w:r w:rsidR="00F352CF" w:rsidRPr="00BD3F27">
        <w:rPr>
          <w:color w:val="000000" w:themeColor="text1"/>
        </w:rPr>
        <w:t xml:space="preserve">-dependent </w:t>
      </w:r>
      <w:proofErr w:type="spellStart"/>
      <w:r w:rsidR="00F352CF" w:rsidRPr="00BD3F27">
        <w:rPr>
          <w:color w:val="000000" w:themeColor="text1"/>
        </w:rPr>
        <w:t>kinase</w:t>
      </w:r>
      <w:proofErr w:type="spellEnd"/>
      <w:r w:rsidR="00F352CF" w:rsidRPr="00BD3F27">
        <w:rPr>
          <w:color w:val="000000" w:themeColor="text1"/>
        </w:rPr>
        <w:t xml:space="preserve"> and MAP kinase were induced while </w:t>
      </w:r>
      <w:proofErr w:type="spellStart"/>
      <w:r w:rsidR="00F352CF" w:rsidRPr="00BD3F27">
        <w:rPr>
          <w:color w:val="000000" w:themeColor="text1"/>
        </w:rPr>
        <w:t>paraoxonase</w:t>
      </w:r>
      <w:proofErr w:type="spellEnd"/>
      <w:r w:rsidR="00F352CF" w:rsidRPr="00BD3F27">
        <w:rPr>
          <w:color w:val="000000" w:themeColor="text1"/>
        </w:rPr>
        <w:t xml:space="preserve"> and a </w:t>
      </w:r>
      <w:proofErr w:type="spellStart"/>
      <w:r w:rsidR="00F352CF" w:rsidRPr="00BD3F27">
        <w:rPr>
          <w:color w:val="000000" w:themeColor="text1"/>
        </w:rPr>
        <w:t>cytochrome</w:t>
      </w:r>
      <w:proofErr w:type="spellEnd"/>
      <w:r w:rsidR="00F352CF" w:rsidRPr="00BD3F27">
        <w:rPr>
          <w:color w:val="000000" w:themeColor="text1"/>
        </w:rPr>
        <w:t xml:space="preserve"> P450 family 2 gene were repressed in infected fish at Morecambe Bay. </w:t>
      </w:r>
      <w:r w:rsidR="00565C2A" w:rsidRPr="00BD3F27">
        <w:rPr>
          <w:color w:val="000000" w:themeColor="text1"/>
        </w:rPr>
        <w:t xml:space="preserve"> </w:t>
      </w:r>
      <w:r w:rsidR="00F352CF" w:rsidRPr="00BD3F27">
        <w:rPr>
          <w:color w:val="000000" w:themeColor="text1"/>
        </w:rPr>
        <w:t xml:space="preserve">However, these expression changes were not detected in response to infection at any other site. </w:t>
      </w:r>
      <w:r w:rsidR="00565C2A" w:rsidRPr="00BD3F27">
        <w:rPr>
          <w:color w:val="000000" w:themeColor="text1"/>
        </w:rPr>
        <w:t xml:space="preserve">From these results the parasite-associated molecular changes are a minor, but important, component of the flounder hepatic molecular differences between sites. </w:t>
      </w:r>
      <w:r w:rsidRPr="00BD3F27">
        <w:rPr>
          <w:color w:val="000000" w:themeColor="text1"/>
        </w:rPr>
        <w:t xml:space="preserve">While fish morphological measurements differed between sites, examining the within-site differences related to these factors revealed only modest effects upon gene expression and metabolite concentrations in the liver, therefore implying that the majority of the </w:t>
      </w:r>
      <w:proofErr w:type="spellStart"/>
      <w:r w:rsidRPr="00BD3F27">
        <w:rPr>
          <w:color w:val="000000" w:themeColor="text1"/>
        </w:rPr>
        <w:t>omic</w:t>
      </w:r>
      <w:proofErr w:type="spellEnd"/>
      <w:r w:rsidRPr="00BD3F27">
        <w:rPr>
          <w:color w:val="000000" w:themeColor="text1"/>
        </w:rPr>
        <w:t xml:space="preserve"> differences between sites were not due to differences in the sizes of the fish. </w:t>
      </w:r>
    </w:p>
    <w:p w:rsidR="005D246F" w:rsidRPr="00BD3F27" w:rsidRDefault="005D246F" w:rsidP="005D246F">
      <w:pPr>
        <w:spacing w:line="480" w:lineRule="auto"/>
        <w:jc w:val="both"/>
        <w:rPr>
          <w:b/>
          <w:color w:val="000000" w:themeColor="text1"/>
        </w:rPr>
      </w:pPr>
    </w:p>
    <w:p w:rsidR="005D246F" w:rsidRPr="00BD3F27" w:rsidRDefault="005D246F" w:rsidP="005D246F">
      <w:pPr>
        <w:spacing w:line="480" w:lineRule="auto"/>
        <w:jc w:val="both"/>
        <w:rPr>
          <w:color w:val="000000" w:themeColor="text1"/>
        </w:rPr>
      </w:pPr>
      <w:r w:rsidRPr="00BD3F27">
        <w:rPr>
          <w:color w:val="000000" w:themeColor="text1"/>
        </w:rPr>
        <w:t xml:space="preserve">Biological effects of planar PAH-type compounds (PAHs, PCBs and dioxins), heavy metals (Cd, Cu and Zn), oxidative stressors and estrogenic compounds were assessed by assays of biomarker phenotypes (EROD, MT, GST, GR, </w:t>
      </w:r>
      <w:proofErr w:type="gramStart"/>
      <w:r w:rsidRPr="00BD3F27">
        <w:rPr>
          <w:color w:val="000000" w:themeColor="text1"/>
        </w:rPr>
        <w:t>VTG</w:t>
      </w:r>
      <w:proofErr w:type="gramEnd"/>
      <w:r w:rsidRPr="00BD3F27">
        <w:rPr>
          <w:color w:val="000000" w:themeColor="text1"/>
        </w:rPr>
        <w:t xml:space="preserve">). These showed measurable differences and positive responses in fish from all sampling sites except for estrogenic effects which were confined to fish from the two Irish Sea environments (Morecambe Bay and Mersey) and </w:t>
      </w:r>
      <w:proofErr w:type="spellStart"/>
      <w:r w:rsidRPr="00BD3F27">
        <w:rPr>
          <w:color w:val="000000" w:themeColor="text1"/>
        </w:rPr>
        <w:t>Brunsbuttel</w:t>
      </w:r>
      <w:proofErr w:type="spellEnd"/>
      <w:r w:rsidRPr="00BD3F27">
        <w:rPr>
          <w:color w:val="000000" w:themeColor="text1"/>
        </w:rPr>
        <w:t xml:space="preserve">. Severe impacts of PAH–type compounds, measured by EROD, were observed in 20% of Tyne fish and 40% of </w:t>
      </w:r>
      <w:proofErr w:type="spellStart"/>
      <w:r w:rsidRPr="00BD3F27">
        <w:rPr>
          <w:color w:val="000000" w:themeColor="text1"/>
        </w:rPr>
        <w:t>Brunsbuttel</w:t>
      </w:r>
      <w:proofErr w:type="spellEnd"/>
      <w:r w:rsidRPr="00BD3F27">
        <w:rPr>
          <w:color w:val="000000" w:themeColor="text1"/>
        </w:rPr>
        <w:t xml:space="preserve"> fish, for heavy metals, measured by MT, in 12% of Mersey fish and 40% of </w:t>
      </w:r>
      <w:proofErr w:type="spellStart"/>
      <w:r w:rsidRPr="00BD3F27">
        <w:rPr>
          <w:color w:val="000000" w:themeColor="text1"/>
        </w:rPr>
        <w:t>Brunsbuttel</w:t>
      </w:r>
      <w:proofErr w:type="spellEnd"/>
      <w:r w:rsidRPr="00BD3F27">
        <w:rPr>
          <w:color w:val="000000" w:themeColor="text1"/>
        </w:rPr>
        <w:t xml:space="preserve"> fish and for oxidative stressors, measured by GR, in 5% of Alde and 25% of Tyne </w:t>
      </w:r>
      <w:r w:rsidRPr="00BD3F27">
        <w:rPr>
          <w:color w:val="000000" w:themeColor="text1"/>
        </w:rPr>
        <w:lastRenderedPageBreak/>
        <w:t xml:space="preserve">fish. </w:t>
      </w:r>
      <w:r w:rsidR="00CE0201" w:rsidRPr="00BD3F27">
        <w:rPr>
          <w:color w:val="000000" w:themeColor="text1"/>
        </w:rPr>
        <w:t xml:space="preserve">Whilst these different phenotypes could be roughly equated with the differences in the chemical contaminants present in the sampling locations there were anomalies that might be explained by differences in the residence times of individual fish within the sampling areas.  Although biomarker responses were correlated with certain chemical contaminants, few associations were found with </w:t>
      </w:r>
      <w:proofErr w:type="spellStart"/>
      <w:r w:rsidR="00CE0201" w:rsidRPr="00BD3F27">
        <w:rPr>
          <w:color w:val="000000" w:themeColor="text1"/>
        </w:rPr>
        <w:t>omic</w:t>
      </w:r>
      <w:proofErr w:type="spellEnd"/>
      <w:r w:rsidR="00CE0201" w:rsidRPr="00BD3F27">
        <w:rPr>
          <w:color w:val="000000" w:themeColor="text1"/>
        </w:rPr>
        <w:t xml:space="preserve"> data, except for hepatic </w:t>
      </w:r>
      <w:proofErr w:type="spellStart"/>
      <w:r w:rsidR="00CE0201" w:rsidRPr="00BD3F27">
        <w:rPr>
          <w:color w:val="000000" w:themeColor="text1"/>
        </w:rPr>
        <w:t>metallothionein</w:t>
      </w:r>
      <w:proofErr w:type="spellEnd"/>
      <w:r w:rsidR="00CE0201" w:rsidRPr="00BD3F27">
        <w:rPr>
          <w:color w:val="000000" w:themeColor="text1"/>
        </w:rPr>
        <w:t xml:space="preserve"> protein </w:t>
      </w:r>
      <w:r w:rsidRPr="00BD3F27">
        <w:rPr>
          <w:color w:val="000000" w:themeColor="text1"/>
        </w:rPr>
        <w:t>(</w:t>
      </w:r>
      <w:r w:rsidR="00D4073F" w:rsidRPr="00BD3F27">
        <w:rPr>
          <w:color w:val="000000" w:themeColor="text1"/>
        </w:rPr>
        <w:t>Table S2</w:t>
      </w:r>
      <w:r w:rsidRPr="00BD3F27">
        <w:rPr>
          <w:color w:val="000000" w:themeColor="text1"/>
        </w:rPr>
        <w:t xml:space="preserve">). </w:t>
      </w:r>
    </w:p>
    <w:p w:rsidR="005D246F" w:rsidRPr="00BD3F27" w:rsidRDefault="005D246F" w:rsidP="005D246F">
      <w:pPr>
        <w:spacing w:line="480" w:lineRule="auto"/>
        <w:jc w:val="both"/>
        <w:rPr>
          <w:color w:val="000000" w:themeColor="text1"/>
        </w:rPr>
      </w:pPr>
    </w:p>
    <w:p w:rsidR="005D246F" w:rsidRPr="00BD3F27" w:rsidRDefault="005D246F" w:rsidP="005D246F">
      <w:pPr>
        <w:spacing w:line="480" w:lineRule="auto"/>
        <w:jc w:val="both"/>
        <w:rPr>
          <w:color w:val="000000" w:themeColor="text1"/>
        </w:rPr>
      </w:pPr>
      <w:r w:rsidRPr="00BD3F27">
        <w:rPr>
          <w:color w:val="000000" w:themeColor="text1"/>
        </w:rPr>
        <w:t xml:space="preserve">The main finding of the genetic study was a weak dichotomy between North Sea and Irish Sea fish. The neutral microsatellite, locus 3F10, was the only marker significantly linked to gene and metabolite expression changes. </w:t>
      </w:r>
      <w:r w:rsidR="00CE0201" w:rsidRPr="00BD3F27">
        <w:rPr>
          <w:color w:val="000000" w:themeColor="text1"/>
        </w:rPr>
        <w:t>Based upon these data we conclude that population genetic differences do not have a major influence on the measured phenotypic variables in these flounder.</w:t>
      </w:r>
    </w:p>
    <w:p w:rsidR="0056156F" w:rsidRPr="00BD3F27" w:rsidRDefault="0056156F" w:rsidP="0056156F">
      <w:pPr>
        <w:spacing w:line="480" w:lineRule="auto"/>
        <w:jc w:val="both"/>
        <w:rPr>
          <w:i/>
          <w:color w:val="000000" w:themeColor="text1"/>
        </w:rPr>
      </w:pPr>
    </w:p>
    <w:p w:rsidR="0056156F" w:rsidRPr="00BD3F27" w:rsidRDefault="0056156F" w:rsidP="0056156F">
      <w:pPr>
        <w:spacing w:line="480" w:lineRule="auto"/>
        <w:jc w:val="both"/>
        <w:rPr>
          <w:i/>
          <w:color w:val="000000" w:themeColor="text1"/>
        </w:rPr>
      </w:pPr>
      <w:r w:rsidRPr="00BD3F27">
        <w:rPr>
          <w:i/>
          <w:color w:val="000000" w:themeColor="text1"/>
        </w:rPr>
        <w:t>Individual genes and metabolites</w:t>
      </w:r>
    </w:p>
    <w:p w:rsidR="0056156F" w:rsidRPr="00BD3F27" w:rsidRDefault="0056156F" w:rsidP="0056156F">
      <w:pPr>
        <w:spacing w:line="480" w:lineRule="auto"/>
        <w:jc w:val="both"/>
        <w:rPr>
          <w:color w:val="000000" w:themeColor="text1"/>
        </w:rPr>
      </w:pPr>
      <w:r w:rsidRPr="00BD3F27">
        <w:rPr>
          <w:color w:val="000000" w:themeColor="text1"/>
        </w:rPr>
        <w:t xml:space="preserve">Examples of individual genes generally highly induced at the polluted sites included CYP1A, DIABLO, </w:t>
      </w:r>
      <w:proofErr w:type="spellStart"/>
      <w:r w:rsidRPr="00BD3F27">
        <w:rPr>
          <w:color w:val="000000" w:themeColor="text1"/>
        </w:rPr>
        <w:t>hepcidin</w:t>
      </w:r>
      <w:proofErr w:type="spellEnd"/>
      <w:r w:rsidRPr="00BD3F27">
        <w:rPr>
          <w:color w:val="000000" w:themeColor="text1"/>
        </w:rPr>
        <w:t xml:space="preserve">, </w:t>
      </w:r>
      <w:proofErr w:type="spellStart"/>
      <w:r w:rsidRPr="00BD3F27">
        <w:rPr>
          <w:color w:val="000000" w:themeColor="text1"/>
        </w:rPr>
        <w:t>catalase</w:t>
      </w:r>
      <w:proofErr w:type="spellEnd"/>
      <w:r w:rsidRPr="00BD3F27">
        <w:rPr>
          <w:color w:val="000000" w:themeColor="text1"/>
        </w:rPr>
        <w:t xml:space="preserve">, and </w:t>
      </w:r>
      <w:proofErr w:type="spellStart"/>
      <w:r w:rsidRPr="00BD3F27">
        <w:rPr>
          <w:color w:val="000000" w:themeColor="text1"/>
        </w:rPr>
        <w:t>transthyretin</w:t>
      </w:r>
      <w:proofErr w:type="spellEnd"/>
      <w:r w:rsidRPr="00BD3F27">
        <w:rPr>
          <w:color w:val="000000" w:themeColor="text1"/>
        </w:rPr>
        <w:t xml:space="preserve"> (</w:t>
      </w:r>
      <w:r w:rsidR="00D4073F" w:rsidRPr="00BD3F27">
        <w:rPr>
          <w:color w:val="000000" w:themeColor="text1"/>
        </w:rPr>
        <w:t>Table S1</w:t>
      </w:r>
      <w:r w:rsidRPr="00BD3F27">
        <w:rPr>
          <w:color w:val="000000" w:themeColor="text1"/>
        </w:rPr>
        <w:t>). We have previously found these and many other of the identified genes to be altered in expression at the polluted sites</w:t>
      </w:r>
      <w:r w:rsidR="00474094" w:rsidRPr="00BD3F27">
        <w:rPr>
          <w:color w:val="000000" w:themeColor="text1"/>
        </w:rPr>
        <w:t xml:space="preserve"> [11]</w:t>
      </w:r>
      <w:r w:rsidRPr="00BD3F27">
        <w:rPr>
          <w:color w:val="000000" w:themeColor="text1"/>
        </w:rPr>
        <w:t xml:space="preserve">, indeed CYP1A </w:t>
      </w:r>
      <w:r w:rsidR="00474094" w:rsidRPr="00BD3F27">
        <w:rPr>
          <w:color w:val="000000" w:themeColor="text1"/>
        </w:rPr>
        <w:t>[16]</w:t>
      </w:r>
      <w:r w:rsidRPr="00BD3F27">
        <w:rPr>
          <w:color w:val="000000" w:themeColor="text1"/>
        </w:rPr>
        <w:t xml:space="preserve"> and catalase are well-known biomarkers of planar aromatic contaminants and oxidative stress, respectively. Based upon this induction of CYP1A it was likely that the </w:t>
      </w:r>
      <w:proofErr w:type="spellStart"/>
      <w:r w:rsidRPr="00BD3F27">
        <w:rPr>
          <w:color w:val="000000" w:themeColor="text1"/>
        </w:rPr>
        <w:t>AhR</w:t>
      </w:r>
      <w:proofErr w:type="spellEnd"/>
      <w:r w:rsidRPr="00BD3F27">
        <w:rPr>
          <w:color w:val="000000" w:themeColor="text1"/>
        </w:rPr>
        <w:t xml:space="preserve"> pathway was activated at all sites in comparison with Alde. Aldehyde dehydrogenase ALDH9A1, microsomal GSTs and Nrf2 target genes of the oxidative stress response such as </w:t>
      </w:r>
      <w:proofErr w:type="spellStart"/>
      <w:r w:rsidRPr="00BD3F27">
        <w:rPr>
          <w:color w:val="000000" w:themeColor="text1"/>
        </w:rPr>
        <w:t>catalase</w:t>
      </w:r>
      <w:proofErr w:type="spellEnd"/>
      <w:r w:rsidRPr="00BD3F27">
        <w:rPr>
          <w:color w:val="000000" w:themeColor="text1"/>
        </w:rPr>
        <w:t xml:space="preserve">, </w:t>
      </w:r>
      <w:proofErr w:type="spellStart"/>
      <w:r w:rsidRPr="00BD3F27">
        <w:rPr>
          <w:color w:val="000000" w:themeColor="text1"/>
        </w:rPr>
        <w:t>thioredoxin</w:t>
      </w:r>
      <w:proofErr w:type="spellEnd"/>
      <w:r w:rsidRPr="00BD3F27">
        <w:rPr>
          <w:color w:val="000000" w:themeColor="text1"/>
        </w:rPr>
        <w:t xml:space="preserve"> and </w:t>
      </w:r>
      <w:proofErr w:type="spellStart"/>
      <w:r w:rsidRPr="00BD3F27">
        <w:rPr>
          <w:color w:val="000000" w:themeColor="text1"/>
        </w:rPr>
        <w:t>aldo-keto</w:t>
      </w:r>
      <w:proofErr w:type="spellEnd"/>
      <w:r w:rsidRPr="00BD3F27">
        <w:rPr>
          <w:color w:val="000000" w:themeColor="text1"/>
        </w:rPr>
        <w:t xml:space="preserve"> </w:t>
      </w:r>
      <w:proofErr w:type="spellStart"/>
      <w:r w:rsidRPr="00BD3F27">
        <w:rPr>
          <w:color w:val="000000" w:themeColor="text1"/>
        </w:rPr>
        <w:t>reductase</w:t>
      </w:r>
      <w:proofErr w:type="spellEnd"/>
      <w:r w:rsidRPr="00BD3F27">
        <w:rPr>
          <w:color w:val="000000" w:themeColor="text1"/>
        </w:rPr>
        <w:t xml:space="preserve"> AKR1A1 were also induced at polluted sites. Additional highly responsive genes included DIABLO and haemoglobins. Based upon interaction networks (Figure 7) we hypothesise that induction of DIABLO is </w:t>
      </w:r>
      <w:proofErr w:type="spellStart"/>
      <w:r w:rsidRPr="00BD3F27">
        <w:rPr>
          <w:color w:val="000000" w:themeColor="text1"/>
        </w:rPr>
        <w:t>AhR</w:t>
      </w:r>
      <w:proofErr w:type="spellEnd"/>
      <w:r w:rsidRPr="00BD3F27">
        <w:rPr>
          <w:color w:val="000000" w:themeColor="text1"/>
        </w:rPr>
        <w:t xml:space="preserve"> dependent in </w:t>
      </w:r>
      <w:r w:rsidRPr="00BD3F27">
        <w:rPr>
          <w:color w:val="000000" w:themeColor="text1"/>
        </w:rPr>
        <w:lastRenderedPageBreak/>
        <w:t xml:space="preserve">flounder. In mammals DIABLO is positively regulated by BAX </w:t>
      </w:r>
      <w:r w:rsidR="00474094" w:rsidRPr="00BD3F27">
        <w:rPr>
          <w:color w:val="000000" w:themeColor="text1"/>
        </w:rPr>
        <w:t>[17],</w:t>
      </w:r>
      <w:r w:rsidRPr="00BD3F27">
        <w:rPr>
          <w:color w:val="000000" w:themeColor="text1"/>
        </w:rPr>
        <w:t xml:space="preserve"> an </w:t>
      </w:r>
      <w:proofErr w:type="spellStart"/>
      <w:r w:rsidRPr="00BD3F27">
        <w:rPr>
          <w:color w:val="000000" w:themeColor="text1"/>
        </w:rPr>
        <w:t>AhR</w:t>
      </w:r>
      <w:proofErr w:type="spellEnd"/>
      <w:r w:rsidRPr="00BD3F27">
        <w:rPr>
          <w:color w:val="000000" w:themeColor="text1"/>
        </w:rPr>
        <w:t xml:space="preserve"> responsive factor </w:t>
      </w:r>
      <w:r w:rsidR="00474094" w:rsidRPr="00BD3F27">
        <w:rPr>
          <w:color w:val="000000" w:themeColor="text1"/>
        </w:rPr>
        <w:t>[18]</w:t>
      </w:r>
      <w:r w:rsidRPr="00BD3F27">
        <w:rPr>
          <w:color w:val="000000" w:themeColor="text1"/>
        </w:rPr>
        <w:t>. The induction of pro-apoptotic DIABLO, previously found induced in flounder hepatocytes from fish chronically exposed to pollu</w:t>
      </w:r>
      <w:r w:rsidR="00474094" w:rsidRPr="00BD3F27">
        <w:rPr>
          <w:color w:val="000000" w:themeColor="text1"/>
        </w:rPr>
        <w:t>ted sediments [10]</w:t>
      </w:r>
      <w:r w:rsidRPr="00BD3F27">
        <w:rPr>
          <w:color w:val="000000" w:themeColor="text1"/>
        </w:rPr>
        <w:t xml:space="preserve">, negatively affects the anti-apoptotic gene </w:t>
      </w:r>
      <w:proofErr w:type="spellStart"/>
      <w:r w:rsidRPr="00BD3F27">
        <w:rPr>
          <w:color w:val="000000" w:themeColor="text1"/>
        </w:rPr>
        <w:t>survivin</w:t>
      </w:r>
      <w:proofErr w:type="spellEnd"/>
      <w:r w:rsidRPr="00BD3F27">
        <w:rPr>
          <w:color w:val="000000" w:themeColor="text1"/>
        </w:rPr>
        <w:t xml:space="preserve"> (BIRC5) </w:t>
      </w:r>
      <w:r w:rsidR="00474094" w:rsidRPr="00BD3F27">
        <w:rPr>
          <w:color w:val="000000" w:themeColor="text1"/>
        </w:rPr>
        <w:t xml:space="preserve">[19], </w:t>
      </w:r>
      <w:r w:rsidRPr="00BD3F27">
        <w:rPr>
          <w:color w:val="000000" w:themeColor="text1"/>
        </w:rPr>
        <w:t xml:space="preserve">leading to an increase in </w:t>
      </w:r>
      <w:proofErr w:type="spellStart"/>
      <w:r w:rsidRPr="00BD3F27">
        <w:rPr>
          <w:color w:val="000000" w:themeColor="text1"/>
        </w:rPr>
        <w:t>caspase</w:t>
      </w:r>
      <w:proofErr w:type="spellEnd"/>
      <w:r w:rsidRPr="00BD3F27">
        <w:rPr>
          <w:color w:val="000000" w:themeColor="text1"/>
        </w:rPr>
        <w:t xml:space="preserve"> 3 dependent apoptosis. We indeed found an apparent mild repression of </w:t>
      </w:r>
      <w:proofErr w:type="spellStart"/>
      <w:r w:rsidRPr="00BD3F27">
        <w:rPr>
          <w:color w:val="000000" w:themeColor="text1"/>
        </w:rPr>
        <w:t>survivin</w:t>
      </w:r>
      <w:proofErr w:type="spellEnd"/>
      <w:r w:rsidRPr="00BD3F27">
        <w:rPr>
          <w:color w:val="000000" w:themeColor="text1"/>
        </w:rPr>
        <w:t xml:space="preserve"> and induction of </w:t>
      </w:r>
      <w:proofErr w:type="spellStart"/>
      <w:r w:rsidRPr="00BD3F27">
        <w:rPr>
          <w:color w:val="000000" w:themeColor="text1"/>
        </w:rPr>
        <w:t>caspase</w:t>
      </w:r>
      <w:proofErr w:type="spellEnd"/>
      <w:r w:rsidRPr="00BD3F27">
        <w:rPr>
          <w:color w:val="000000" w:themeColor="text1"/>
        </w:rPr>
        <w:t xml:space="preserve"> 3. Haemoglobins can be regulated by </w:t>
      </w:r>
      <w:proofErr w:type="spellStart"/>
      <w:r w:rsidRPr="00BD3F27">
        <w:rPr>
          <w:color w:val="000000" w:themeColor="text1"/>
        </w:rPr>
        <w:t>AhR</w:t>
      </w:r>
      <w:proofErr w:type="spellEnd"/>
      <w:r w:rsidRPr="00BD3F27">
        <w:rPr>
          <w:color w:val="000000" w:themeColor="text1"/>
        </w:rPr>
        <w:t xml:space="preserve">-induced CDKN1B </w:t>
      </w:r>
      <w:r w:rsidR="00474094" w:rsidRPr="00BD3F27">
        <w:rPr>
          <w:color w:val="000000" w:themeColor="text1"/>
        </w:rPr>
        <w:t>[20</w:t>
      </w:r>
      <w:proofErr w:type="gramStart"/>
      <w:r w:rsidR="00474094" w:rsidRPr="00BD3F27">
        <w:rPr>
          <w:color w:val="000000" w:themeColor="text1"/>
        </w:rPr>
        <w:t>,21</w:t>
      </w:r>
      <w:proofErr w:type="gramEnd"/>
      <w:r w:rsidR="00474094" w:rsidRPr="00BD3F27">
        <w:rPr>
          <w:color w:val="000000" w:themeColor="text1"/>
        </w:rPr>
        <w:t>]</w:t>
      </w:r>
      <w:r w:rsidRPr="00BD3F27">
        <w:rPr>
          <w:color w:val="000000" w:themeColor="text1"/>
        </w:rPr>
        <w:t xml:space="preserve">, alternatively, the apparent induction of haemoglobin mRNA may be related to infiltration of erythrocytes into damaged liver tissue. </w:t>
      </w:r>
    </w:p>
    <w:p w:rsidR="0056156F" w:rsidRPr="00BD3F27" w:rsidRDefault="0056156F" w:rsidP="0056156F">
      <w:pPr>
        <w:spacing w:line="480" w:lineRule="auto"/>
        <w:jc w:val="both"/>
        <w:rPr>
          <w:color w:val="000000" w:themeColor="text1"/>
        </w:rPr>
      </w:pPr>
    </w:p>
    <w:p w:rsidR="0056156F" w:rsidRPr="00BD3F27" w:rsidRDefault="0056156F" w:rsidP="00C377CD">
      <w:pPr>
        <w:spacing w:line="480" w:lineRule="auto"/>
        <w:jc w:val="both"/>
        <w:rPr>
          <w:color w:val="000000" w:themeColor="text1"/>
        </w:rPr>
      </w:pPr>
      <w:r w:rsidRPr="00BD3F27">
        <w:rPr>
          <w:color w:val="000000" w:themeColor="text1"/>
        </w:rPr>
        <w:t>The metabolite o-</w:t>
      </w:r>
      <w:proofErr w:type="spellStart"/>
      <w:r w:rsidRPr="00BD3F27">
        <w:rPr>
          <w:color w:val="000000" w:themeColor="text1"/>
        </w:rPr>
        <w:t>phosphocholine</w:t>
      </w:r>
      <w:proofErr w:type="spellEnd"/>
      <w:r w:rsidR="00CE0201" w:rsidRPr="00BD3F27">
        <w:rPr>
          <w:color w:val="000000" w:themeColor="text1"/>
        </w:rPr>
        <w:t xml:space="preserve"> was induced at all sites</w:t>
      </w:r>
      <w:r w:rsidRPr="00BD3F27">
        <w:rPr>
          <w:color w:val="000000" w:themeColor="text1"/>
        </w:rPr>
        <w:t xml:space="preserve"> and choline </w:t>
      </w:r>
      <w:r w:rsidR="00CE0201" w:rsidRPr="00BD3F27">
        <w:rPr>
          <w:color w:val="000000" w:themeColor="text1"/>
        </w:rPr>
        <w:t xml:space="preserve">was induced at </w:t>
      </w:r>
      <w:proofErr w:type="spellStart"/>
      <w:r w:rsidR="00CE0201" w:rsidRPr="00BD3F27">
        <w:rPr>
          <w:color w:val="000000" w:themeColor="text1"/>
        </w:rPr>
        <w:t>Brunsbuttel</w:t>
      </w:r>
      <w:proofErr w:type="spellEnd"/>
      <w:r w:rsidR="00CE0201" w:rsidRPr="00BD3F27">
        <w:rPr>
          <w:color w:val="000000" w:themeColor="text1"/>
        </w:rPr>
        <w:t xml:space="preserve"> and Morecambe Bay, in comp</w:t>
      </w:r>
      <w:r w:rsidR="0071299B" w:rsidRPr="00BD3F27">
        <w:rPr>
          <w:color w:val="000000" w:themeColor="text1"/>
        </w:rPr>
        <w:t>a</w:t>
      </w:r>
      <w:r w:rsidR="00CE0201" w:rsidRPr="00BD3F27">
        <w:rPr>
          <w:color w:val="000000" w:themeColor="text1"/>
        </w:rPr>
        <w:t xml:space="preserve">rison with Alde fish </w:t>
      </w:r>
      <w:r w:rsidRPr="00BD3F27">
        <w:rPr>
          <w:color w:val="000000" w:themeColor="text1"/>
        </w:rPr>
        <w:t>(</w:t>
      </w:r>
      <w:r w:rsidR="00D4073F" w:rsidRPr="00BD3F27">
        <w:rPr>
          <w:color w:val="000000" w:themeColor="text1"/>
        </w:rPr>
        <w:t>Table S1</w:t>
      </w:r>
      <w:r w:rsidRPr="00BD3F27">
        <w:rPr>
          <w:color w:val="000000" w:themeColor="text1"/>
        </w:rPr>
        <w:t xml:space="preserve">). These molecules are intermediates in </w:t>
      </w:r>
      <w:proofErr w:type="spellStart"/>
      <w:r w:rsidRPr="00BD3F27">
        <w:rPr>
          <w:color w:val="000000" w:themeColor="text1"/>
        </w:rPr>
        <w:t>phosphatidylcholine</w:t>
      </w:r>
      <w:proofErr w:type="spellEnd"/>
      <w:r w:rsidRPr="00BD3F27">
        <w:rPr>
          <w:color w:val="000000" w:themeColor="text1"/>
        </w:rPr>
        <w:t xml:space="preserve"> </w:t>
      </w:r>
      <w:r w:rsidR="0071299B" w:rsidRPr="00BD3F27">
        <w:rPr>
          <w:color w:val="000000" w:themeColor="text1"/>
        </w:rPr>
        <w:t>synthesis;</w:t>
      </w:r>
      <w:r w:rsidRPr="00BD3F27">
        <w:rPr>
          <w:color w:val="000000" w:themeColor="text1"/>
        </w:rPr>
        <w:t xml:space="preserve"> therefore these alterations imply changes in phospholipid concentrations. At the polluted sites, fish were more likely to suffer from </w:t>
      </w:r>
      <w:proofErr w:type="spellStart"/>
      <w:r w:rsidRPr="00BD3F27">
        <w:rPr>
          <w:color w:val="000000" w:themeColor="text1"/>
        </w:rPr>
        <w:t>phospholipidosis</w:t>
      </w:r>
      <w:proofErr w:type="spellEnd"/>
      <w:r w:rsidRPr="00BD3F27">
        <w:rPr>
          <w:color w:val="000000" w:themeColor="text1"/>
        </w:rPr>
        <w:t xml:space="preserve"> (Table 1H), a </w:t>
      </w:r>
      <w:proofErr w:type="spellStart"/>
      <w:r w:rsidRPr="00BD3F27">
        <w:rPr>
          <w:color w:val="000000" w:themeColor="text1"/>
        </w:rPr>
        <w:t>lysosomal</w:t>
      </w:r>
      <w:proofErr w:type="spellEnd"/>
      <w:r w:rsidRPr="00BD3F27">
        <w:rPr>
          <w:color w:val="000000" w:themeColor="text1"/>
        </w:rPr>
        <w:t xml:space="preserve"> storage disorder where excess phospholipid accumulation occurs. Therefore </w:t>
      </w:r>
      <w:proofErr w:type="spellStart"/>
      <w:r w:rsidRPr="00BD3F27">
        <w:rPr>
          <w:color w:val="000000" w:themeColor="text1"/>
        </w:rPr>
        <w:t>choline</w:t>
      </w:r>
      <w:proofErr w:type="spellEnd"/>
      <w:r w:rsidRPr="00BD3F27">
        <w:rPr>
          <w:color w:val="000000" w:themeColor="text1"/>
        </w:rPr>
        <w:t xml:space="preserve"> and o-</w:t>
      </w:r>
      <w:proofErr w:type="spellStart"/>
      <w:r w:rsidRPr="00BD3F27">
        <w:rPr>
          <w:color w:val="000000" w:themeColor="text1"/>
        </w:rPr>
        <w:t>phosphocholine</w:t>
      </w:r>
      <w:proofErr w:type="spellEnd"/>
      <w:r w:rsidRPr="00BD3F27">
        <w:rPr>
          <w:color w:val="000000" w:themeColor="text1"/>
        </w:rPr>
        <w:t xml:space="preserve"> may represent useful metabolic biomarkers for this condition, indeed, choline concentration was significantly associated with </w:t>
      </w:r>
      <w:proofErr w:type="spellStart"/>
      <w:r w:rsidRPr="00BD3F27">
        <w:rPr>
          <w:color w:val="000000" w:themeColor="text1"/>
        </w:rPr>
        <w:t>phospholipidosis</w:t>
      </w:r>
      <w:proofErr w:type="spellEnd"/>
      <w:r w:rsidRPr="00BD3F27">
        <w:rPr>
          <w:color w:val="000000" w:themeColor="text1"/>
        </w:rPr>
        <w:t xml:space="preserve"> (</w:t>
      </w:r>
      <w:r w:rsidR="00D4073F" w:rsidRPr="00BD3F27">
        <w:rPr>
          <w:color w:val="000000" w:themeColor="text1"/>
        </w:rPr>
        <w:t>Table S2</w:t>
      </w:r>
      <w:r w:rsidRPr="00BD3F27">
        <w:rPr>
          <w:color w:val="000000" w:themeColor="text1"/>
        </w:rPr>
        <w:t xml:space="preserve">). Previously we have investigated hepatic differences between female flounders from the Tyne and Alde estuaries by metabolomics </w:t>
      </w:r>
      <w:r w:rsidR="00474094" w:rsidRPr="00BD3F27">
        <w:rPr>
          <w:color w:val="000000" w:themeColor="text1"/>
        </w:rPr>
        <w:t>[22]</w:t>
      </w:r>
      <w:r w:rsidRPr="00BD3F27">
        <w:rPr>
          <w:color w:val="000000" w:themeColor="text1"/>
        </w:rPr>
        <w:t xml:space="preserve"> and discovered repression of lactate and glucose at the Tyne site. In the current experiment lactate was also repressed in male fish from the Tyne, but glucose was not consistently affected (</w:t>
      </w:r>
      <w:r w:rsidR="00D4073F" w:rsidRPr="00BD3F27">
        <w:rPr>
          <w:color w:val="000000" w:themeColor="text1"/>
        </w:rPr>
        <w:t>Table S1</w:t>
      </w:r>
      <w:r w:rsidRPr="00BD3F27">
        <w:rPr>
          <w:color w:val="000000" w:themeColor="text1"/>
        </w:rPr>
        <w:t xml:space="preserve">). </w:t>
      </w:r>
    </w:p>
    <w:p w:rsidR="0056156F" w:rsidRPr="00BD3F27" w:rsidRDefault="0056156F" w:rsidP="0056156F">
      <w:pPr>
        <w:spacing w:line="480" w:lineRule="auto"/>
        <w:jc w:val="both"/>
        <w:rPr>
          <w:i/>
          <w:color w:val="000000" w:themeColor="text1"/>
        </w:rPr>
      </w:pPr>
    </w:p>
    <w:p w:rsidR="0056156F" w:rsidRPr="00BD3F27" w:rsidRDefault="0056156F" w:rsidP="0056156F">
      <w:pPr>
        <w:spacing w:line="480" w:lineRule="auto"/>
        <w:jc w:val="both"/>
        <w:rPr>
          <w:color w:val="000000" w:themeColor="text1"/>
        </w:rPr>
      </w:pPr>
      <w:r w:rsidRPr="00BD3F27">
        <w:rPr>
          <w:color w:val="000000" w:themeColor="text1"/>
        </w:rPr>
        <w:t xml:space="preserve">While focussing on individual genes and metabolites is undoubtedly informative, it was apparent that the many hundreds of significant changes identified required higher level analyses, to predict </w:t>
      </w:r>
      <w:r w:rsidRPr="00BD3F27">
        <w:rPr>
          <w:color w:val="000000" w:themeColor="text1"/>
        </w:rPr>
        <w:lastRenderedPageBreak/>
        <w:t xml:space="preserve">both potential exposures and health outcomes and to focus on responsive pathways. </w:t>
      </w:r>
      <w:r w:rsidR="003744F0" w:rsidRPr="00BD3F27">
        <w:rPr>
          <w:color w:val="000000" w:themeColor="text1"/>
        </w:rPr>
        <w:t>These analyses are shown and discussed within the main body of this publication.</w:t>
      </w:r>
      <w:r w:rsidRPr="00BD3F27">
        <w:rPr>
          <w:color w:val="000000" w:themeColor="text1"/>
        </w:rPr>
        <w:t xml:space="preserve"> </w:t>
      </w:r>
    </w:p>
    <w:p w:rsidR="00D75E21" w:rsidRPr="00BD3F27" w:rsidRDefault="00D75E21" w:rsidP="0056156F">
      <w:pPr>
        <w:spacing w:line="480" w:lineRule="auto"/>
        <w:jc w:val="both"/>
        <w:rPr>
          <w:color w:val="000000" w:themeColor="text1"/>
        </w:rPr>
      </w:pPr>
    </w:p>
    <w:p w:rsidR="000B470E" w:rsidRPr="00BD3F27" w:rsidRDefault="003744F0" w:rsidP="000B470E">
      <w:pPr>
        <w:spacing w:line="480" w:lineRule="auto"/>
        <w:jc w:val="both"/>
        <w:rPr>
          <w:rFonts w:ascii="Arial" w:hAnsi="Arial" w:cs="Arial"/>
          <w:b/>
          <w:color w:val="000000" w:themeColor="text1"/>
        </w:rPr>
      </w:pPr>
      <w:r w:rsidRPr="00BD3F27">
        <w:rPr>
          <w:b/>
          <w:color w:val="000000" w:themeColor="text1"/>
        </w:rPr>
        <w:br w:type="column"/>
      </w:r>
      <w:r w:rsidR="000B470E" w:rsidRPr="00BD3F27">
        <w:rPr>
          <w:rFonts w:ascii="Arial" w:hAnsi="Arial" w:cs="Arial"/>
          <w:b/>
          <w:color w:val="000000" w:themeColor="text1"/>
        </w:rPr>
        <w:lastRenderedPageBreak/>
        <w:t>REFERENCES</w:t>
      </w:r>
    </w:p>
    <w:p w:rsidR="000B470E" w:rsidRPr="00BD3F27" w:rsidRDefault="00832C9D" w:rsidP="00832C9D">
      <w:pPr>
        <w:widowControl w:val="0"/>
        <w:autoSpaceDE w:val="0"/>
        <w:autoSpaceDN w:val="0"/>
        <w:adjustRightInd w:val="0"/>
        <w:spacing w:line="480" w:lineRule="auto"/>
        <w:ind w:left="720" w:hanging="720"/>
        <w:jc w:val="both"/>
        <w:rPr>
          <w:b/>
          <w:color w:val="000000" w:themeColor="text1"/>
        </w:rPr>
      </w:pPr>
      <w:r w:rsidRPr="00BD3F27">
        <w:rPr>
          <w:color w:val="000000" w:themeColor="text1"/>
        </w:rPr>
        <w:t>1.</w:t>
      </w:r>
      <w:r w:rsidRPr="00BD3F27">
        <w:rPr>
          <w:color w:val="000000" w:themeColor="text1"/>
        </w:rPr>
        <w:tab/>
        <w:t xml:space="preserve">Abraham K, </w:t>
      </w:r>
      <w:proofErr w:type="spellStart"/>
      <w:r w:rsidRPr="00BD3F27">
        <w:rPr>
          <w:color w:val="000000" w:themeColor="text1"/>
        </w:rPr>
        <w:t>Sameith</w:t>
      </w:r>
      <w:proofErr w:type="spellEnd"/>
      <w:r w:rsidRPr="00BD3F27">
        <w:rPr>
          <w:color w:val="000000" w:themeColor="text1"/>
        </w:rPr>
        <w:t xml:space="preserve">, K, </w:t>
      </w:r>
      <w:proofErr w:type="spellStart"/>
      <w:r w:rsidRPr="00BD3F27">
        <w:rPr>
          <w:color w:val="000000" w:themeColor="text1"/>
        </w:rPr>
        <w:t>Falciani</w:t>
      </w:r>
      <w:proofErr w:type="spellEnd"/>
      <w:r w:rsidRPr="00BD3F27">
        <w:rPr>
          <w:color w:val="000000" w:themeColor="text1"/>
        </w:rPr>
        <w:t xml:space="preserve">, </w:t>
      </w:r>
      <w:proofErr w:type="gramStart"/>
      <w:r w:rsidRPr="00BD3F27">
        <w:rPr>
          <w:color w:val="000000" w:themeColor="text1"/>
        </w:rPr>
        <w:t>F</w:t>
      </w:r>
      <w:proofErr w:type="gramEnd"/>
      <w:r w:rsidRPr="00BD3F27">
        <w:rPr>
          <w:color w:val="000000" w:themeColor="text1"/>
        </w:rPr>
        <w:t xml:space="preserve">: </w:t>
      </w:r>
      <w:r w:rsidRPr="00BD3F27">
        <w:rPr>
          <w:b/>
          <w:bCs/>
          <w:color w:val="000000" w:themeColor="text1"/>
        </w:rPr>
        <w:t>Improving functional module detection</w:t>
      </w:r>
      <w:r w:rsidRPr="00BD3F27">
        <w:rPr>
          <w:color w:val="000000" w:themeColor="text1"/>
        </w:rPr>
        <w:t xml:space="preserve">. In: </w:t>
      </w:r>
      <w:r w:rsidRPr="00BD3F27">
        <w:rPr>
          <w:i/>
          <w:iCs/>
          <w:color w:val="000000" w:themeColor="text1"/>
        </w:rPr>
        <w:t>Ohio Collaborative Conference on Bioinformatics: 2009; Ohio</w:t>
      </w:r>
      <w:r w:rsidRPr="00BD3F27">
        <w:rPr>
          <w:color w:val="000000" w:themeColor="text1"/>
        </w:rPr>
        <w:t>; 2009: 110-115.</w:t>
      </w:r>
    </w:p>
    <w:p w:rsidR="000B470E" w:rsidRPr="00BD3F27" w:rsidRDefault="00832C9D" w:rsidP="000B470E">
      <w:pPr>
        <w:autoSpaceDE w:val="0"/>
        <w:autoSpaceDN w:val="0"/>
        <w:adjustRightInd w:val="0"/>
        <w:spacing w:line="480" w:lineRule="auto"/>
        <w:ind w:left="720" w:hanging="720"/>
        <w:rPr>
          <w:color w:val="000000" w:themeColor="text1"/>
        </w:rPr>
      </w:pPr>
      <w:r w:rsidRPr="00BD3F27">
        <w:rPr>
          <w:color w:val="000000" w:themeColor="text1"/>
        </w:rPr>
        <w:t>2</w:t>
      </w:r>
      <w:r w:rsidR="000B470E" w:rsidRPr="00BD3F27">
        <w:rPr>
          <w:color w:val="000000" w:themeColor="text1"/>
        </w:rPr>
        <w:t>.</w:t>
      </w:r>
      <w:r w:rsidR="000B470E" w:rsidRPr="00BD3F27">
        <w:rPr>
          <w:color w:val="000000" w:themeColor="text1"/>
        </w:rPr>
        <w:tab/>
        <w:t xml:space="preserve">OSPAR: </w:t>
      </w:r>
      <w:r w:rsidR="000B470E" w:rsidRPr="00BD3F27">
        <w:rPr>
          <w:b/>
          <w:bCs/>
          <w:color w:val="000000" w:themeColor="text1"/>
        </w:rPr>
        <w:t xml:space="preserve">OSPAR/ICES Workshop on the evaluation and update of background reference concentrations (B/RCs) and </w:t>
      </w:r>
      <w:proofErr w:type="spellStart"/>
      <w:r w:rsidR="000B470E" w:rsidRPr="00BD3F27">
        <w:rPr>
          <w:b/>
          <w:bCs/>
          <w:color w:val="000000" w:themeColor="text1"/>
        </w:rPr>
        <w:t>ecotoxicological</w:t>
      </w:r>
      <w:proofErr w:type="spellEnd"/>
      <w:r w:rsidR="000B470E" w:rsidRPr="00BD3F27">
        <w:rPr>
          <w:b/>
          <w:bCs/>
          <w:color w:val="000000" w:themeColor="text1"/>
        </w:rPr>
        <w:t xml:space="preserve"> assessment criteria (EACs) and how these assessment tools should be used in assessing contaminants in water, sediment and biota. </w:t>
      </w:r>
      <w:proofErr w:type="gramStart"/>
      <w:r w:rsidR="000B470E" w:rsidRPr="00BD3F27">
        <w:rPr>
          <w:color w:val="000000" w:themeColor="text1"/>
        </w:rPr>
        <w:t>Final Report.</w:t>
      </w:r>
      <w:proofErr w:type="gramEnd"/>
      <w:r w:rsidR="000B470E" w:rsidRPr="00BD3F27">
        <w:rPr>
          <w:color w:val="000000" w:themeColor="text1"/>
        </w:rPr>
        <w:t xml:space="preserve"> The Hague: OSPAR; 2004.</w:t>
      </w:r>
    </w:p>
    <w:p w:rsidR="00DA1AA4" w:rsidRPr="00BD3F27" w:rsidRDefault="00832C9D" w:rsidP="009C3D5B">
      <w:pPr>
        <w:autoSpaceDE w:val="0"/>
        <w:autoSpaceDN w:val="0"/>
        <w:adjustRightInd w:val="0"/>
        <w:spacing w:line="480" w:lineRule="auto"/>
        <w:ind w:left="720" w:hanging="720"/>
        <w:rPr>
          <w:rFonts w:eastAsiaTheme="minorHAnsi"/>
          <w:color w:val="000000" w:themeColor="text1"/>
          <w:lang w:val="en-US"/>
        </w:rPr>
      </w:pPr>
      <w:r w:rsidRPr="00BD3F27">
        <w:rPr>
          <w:rFonts w:eastAsiaTheme="minorHAnsi"/>
          <w:color w:val="000000" w:themeColor="text1"/>
          <w:lang w:val="en-US"/>
        </w:rPr>
        <w:t>3</w:t>
      </w:r>
      <w:r w:rsidR="009C3D5B" w:rsidRPr="00BD3F27">
        <w:rPr>
          <w:rFonts w:eastAsiaTheme="minorHAnsi"/>
          <w:color w:val="000000" w:themeColor="text1"/>
          <w:lang w:val="en-US"/>
        </w:rPr>
        <w:t>.</w:t>
      </w:r>
      <w:r w:rsidR="009C3D5B" w:rsidRPr="00BD3F27">
        <w:rPr>
          <w:rFonts w:eastAsiaTheme="minorHAnsi"/>
          <w:color w:val="000000" w:themeColor="text1"/>
          <w:lang w:val="en-US"/>
        </w:rPr>
        <w:tab/>
      </w:r>
      <w:r w:rsidR="00DA1AA4" w:rsidRPr="00BD3F27">
        <w:rPr>
          <w:rFonts w:eastAsiaTheme="minorHAnsi"/>
          <w:color w:val="000000" w:themeColor="text1"/>
          <w:lang w:val="en-US"/>
        </w:rPr>
        <w:t xml:space="preserve">Sabine V, </w:t>
      </w:r>
      <w:proofErr w:type="spellStart"/>
      <w:r w:rsidR="00DA1AA4" w:rsidRPr="00BD3F27">
        <w:rPr>
          <w:rFonts w:eastAsiaTheme="minorHAnsi"/>
          <w:color w:val="000000" w:themeColor="text1"/>
          <w:lang w:val="en-US"/>
        </w:rPr>
        <w:t>Minghetti</w:t>
      </w:r>
      <w:proofErr w:type="spellEnd"/>
      <w:r w:rsidR="00DA1AA4" w:rsidRPr="00BD3F27">
        <w:rPr>
          <w:rFonts w:eastAsiaTheme="minorHAnsi"/>
          <w:color w:val="000000" w:themeColor="text1"/>
          <w:lang w:val="en-US"/>
        </w:rPr>
        <w:t xml:space="preserve"> M, </w:t>
      </w:r>
      <w:proofErr w:type="spellStart"/>
      <w:proofErr w:type="gramStart"/>
      <w:r w:rsidR="00DA1AA4" w:rsidRPr="00BD3F27">
        <w:rPr>
          <w:rFonts w:eastAsiaTheme="minorHAnsi"/>
          <w:color w:val="000000" w:themeColor="text1"/>
          <w:lang w:val="en-US"/>
        </w:rPr>
        <w:t>Diab</w:t>
      </w:r>
      <w:proofErr w:type="spellEnd"/>
      <w:proofErr w:type="gramEnd"/>
      <w:r w:rsidR="00DA1AA4" w:rsidRPr="00BD3F27">
        <w:rPr>
          <w:rFonts w:eastAsiaTheme="minorHAnsi"/>
          <w:color w:val="000000" w:themeColor="text1"/>
          <w:lang w:val="en-US"/>
        </w:rPr>
        <w:t xml:space="preserve"> A, George S: </w:t>
      </w:r>
      <w:r w:rsidR="00DA1AA4" w:rsidRPr="00BD3F27">
        <w:rPr>
          <w:rFonts w:eastAsiaTheme="minorHAnsi"/>
          <w:b/>
          <w:color w:val="000000" w:themeColor="text1"/>
          <w:lang w:val="en-US"/>
        </w:rPr>
        <w:t xml:space="preserve">Glutathione </w:t>
      </w:r>
      <w:proofErr w:type="spellStart"/>
      <w:r w:rsidR="00DA1AA4" w:rsidRPr="00BD3F27">
        <w:rPr>
          <w:rFonts w:eastAsiaTheme="minorHAnsi"/>
          <w:b/>
          <w:color w:val="000000" w:themeColor="text1"/>
          <w:lang w:val="en-US"/>
        </w:rPr>
        <w:t>reductase</w:t>
      </w:r>
      <w:proofErr w:type="spellEnd"/>
      <w:r w:rsidR="00DA1AA4" w:rsidRPr="00BD3F27">
        <w:rPr>
          <w:rFonts w:eastAsiaTheme="minorHAnsi"/>
          <w:b/>
          <w:color w:val="000000" w:themeColor="text1"/>
          <w:lang w:val="en-US"/>
        </w:rPr>
        <w:t xml:space="preserve"> probes as a marker for oxidative stress</w:t>
      </w:r>
      <w:r w:rsidR="00DA1AA4" w:rsidRPr="00BD3F27">
        <w:rPr>
          <w:rFonts w:eastAsiaTheme="minorHAnsi"/>
          <w:color w:val="000000" w:themeColor="text1"/>
          <w:lang w:val="en-US"/>
        </w:rPr>
        <w:t xml:space="preserve">. </w:t>
      </w:r>
      <w:r w:rsidR="00DA1AA4" w:rsidRPr="00BD3F27">
        <w:rPr>
          <w:rFonts w:eastAsiaTheme="minorHAnsi"/>
          <w:i/>
          <w:color w:val="000000" w:themeColor="text1"/>
          <w:lang w:val="en-US"/>
        </w:rPr>
        <w:t xml:space="preserve">Mar. Environ. Res. </w:t>
      </w:r>
      <w:r w:rsidR="00DA1AA4" w:rsidRPr="00BD3F27">
        <w:rPr>
          <w:rFonts w:eastAsiaTheme="minorHAnsi"/>
          <w:color w:val="000000" w:themeColor="text1"/>
          <w:lang w:val="en-US"/>
        </w:rPr>
        <w:t xml:space="preserve">2006, </w:t>
      </w:r>
      <w:proofErr w:type="gramStart"/>
      <w:r w:rsidR="00DA1AA4" w:rsidRPr="00BD3F27">
        <w:rPr>
          <w:rFonts w:eastAsiaTheme="minorHAnsi"/>
          <w:b/>
          <w:color w:val="000000" w:themeColor="text1"/>
          <w:lang w:val="en-US"/>
        </w:rPr>
        <w:t>62</w:t>
      </w:r>
      <w:r w:rsidR="00DA1AA4" w:rsidRPr="00BD3F27">
        <w:rPr>
          <w:rFonts w:eastAsiaTheme="minorHAnsi"/>
          <w:color w:val="000000" w:themeColor="text1"/>
          <w:lang w:val="en-US"/>
        </w:rPr>
        <w:t xml:space="preserve"> Suppl.S452</w:t>
      </w:r>
      <w:proofErr w:type="gramEnd"/>
      <w:r w:rsidR="00DA1AA4" w:rsidRPr="00BD3F27">
        <w:rPr>
          <w:rFonts w:eastAsiaTheme="minorHAnsi"/>
          <w:color w:val="000000" w:themeColor="text1"/>
          <w:lang w:val="en-US"/>
        </w:rPr>
        <w:tab/>
      </w:r>
    </w:p>
    <w:p w:rsidR="006D7D38" w:rsidRPr="00BD3F27" w:rsidRDefault="00832C9D" w:rsidP="009C3D5B">
      <w:pPr>
        <w:autoSpaceDE w:val="0"/>
        <w:autoSpaceDN w:val="0"/>
        <w:adjustRightInd w:val="0"/>
        <w:spacing w:line="480" w:lineRule="auto"/>
        <w:ind w:left="720" w:hanging="720"/>
        <w:rPr>
          <w:color w:val="000000" w:themeColor="text1"/>
        </w:rPr>
      </w:pPr>
      <w:r w:rsidRPr="00BD3F27">
        <w:rPr>
          <w:rFonts w:eastAsiaTheme="minorHAnsi"/>
          <w:color w:val="000000" w:themeColor="text1"/>
          <w:lang w:val="en-US"/>
        </w:rPr>
        <w:t>4</w:t>
      </w:r>
      <w:r w:rsidR="009C3D5B" w:rsidRPr="00BD3F27">
        <w:rPr>
          <w:rFonts w:eastAsiaTheme="minorHAnsi"/>
          <w:color w:val="000000" w:themeColor="text1"/>
          <w:lang w:val="en-US"/>
        </w:rPr>
        <w:t>.</w:t>
      </w:r>
      <w:r w:rsidR="009C3D5B" w:rsidRPr="00BD3F27">
        <w:rPr>
          <w:rFonts w:eastAsiaTheme="minorHAnsi"/>
          <w:color w:val="000000" w:themeColor="text1"/>
          <w:lang w:val="en-US"/>
        </w:rPr>
        <w:tab/>
      </w:r>
      <w:proofErr w:type="spellStart"/>
      <w:r w:rsidR="006D7D38" w:rsidRPr="00BD3F27">
        <w:rPr>
          <w:rFonts w:eastAsiaTheme="minorHAnsi"/>
          <w:color w:val="000000" w:themeColor="text1"/>
          <w:lang w:val="en-US"/>
        </w:rPr>
        <w:t>Valko</w:t>
      </w:r>
      <w:proofErr w:type="spellEnd"/>
      <w:r w:rsidR="006D7D38" w:rsidRPr="00BD3F27">
        <w:rPr>
          <w:rFonts w:eastAsiaTheme="minorHAnsi"/>
          <w:color w:val="000000" w:themeColor="text1"/>
          <w:lang w:val="en-US"/>
        </w:rPr>
        <w:t xml:space="preserve"> M, Rhodes CJ, </w:t>
      </w:r>
      <w:proofErr w:type="spellStart"/>
      <w:r w:rsidR="006D7D38" w:rsidRPr="00BD3F27">
        <w:rPr>
          <w:rFonts w:eastAsiaTheme="minorHAnsi"/>
          <w:color w:val="000000" w:themeColor="text1"/>
          <w:lang w:val="en-US"/>
        </w:rPr>
        <w:t>Moncol</w:t>
      </w:r>
      <w:proofErr w:type="spellEnd"/>
      <w:r w:rsidR="006D7D38" w:rsidRPr="00BD3F27">
        <w:rPr>
          <w:rFonts w:eastAsiaTheme="minorHAnsi"/>
          <w:color w:val="000000" w:themeColor="text1"/>
          <w:lang w:val="en-US"/>
        </w:rPr>
        <w:t xml:space="preserve"> J, </w:t>
      </w:r>
      <w:proofErr w:type="spellStart"/>
      <w:r w:rsidR="006D7D38" w:rsidRPr="00BD3F27">
        <w:rPr>
          <w:rFonts w:eastAsiaTheme="minorHAnsi"/>
          <w:color w:val="000000" w:themeColor="text1"/>
          <w:lang w:val="en-US"/>
        </w:rPr>
        <w:t>Izakovic</w:t>
      </w:r>
      <w:proofErr w:type="spellEnd"/>
      <w:r w:rsidR="006D7D38" w:rsidRPr="00BD3F27">
        <w:rPr>
          <w:rFonts w:eastAsiaTheme="minorHAnsi"/>
          <w:color w:val="000000" w:themeColor="text1"/>
          <w:lang w:val="en-US"/>
        </w:rPr>
        <w:t xml:space="preserve"> M, Mazur M: </w:t>
      </w:r>
      <w:r w:rsidR="006D7D38" w:rsidRPr="00BD3F27">
        <w:rPr>
          <w:rFonts w:eastAsiaTheme="minorHAnsi"/>
          <w:b/>
          <w:bCs/>
          <w:color w:val="000000" w:themeColor="text1"/>
          <w:lang w:val="en-US"/>
        </w:rPr>
        <w:t>Free radicals, metals and antioxidants in oxidative stress-induced cancer</w:t>
      </w:r>
      <w:r w:rsidR="006D7D38" w:rsidRPr="00BD3F27">
        <w:rPr>
          <w:rFonts w:eastAsiaTheme="minorHAnsi"/>
          <w:color w:val="000000" w:themeColor="text1"/>
          <w:lang w:val="en-US"/>
        </w:rPr>
        <w:t xml:space="preserve">. </w:t>
      </w:r>
      <w:proofErr w:type="spellStart"/>
      <w:r w:rsidR="006D7D38" w:rsidRPr="00BD3F27">
        <w:rPr>
          <w:rFonts w:eastAsiaTheme="minorHAnsi"/>
          <w:i/>
          <w:iCs/>
          <w:color w:val="000000" w:themeColor="text1"/>
          <w:lang w:val="en-US"/>
        </w:rPr>
        <w:t>Chem</w:t>
      </w:r>
      <w:proofErr w:type="spellEnd"/>
      <w:r w:rsidR="006D7D38" w:rsidRPr="00BD3F27">
        <w:rPr>
          <w:rFonts w:eastAsiaTheme="minorHAnsi"/>
          <w:i/>
          <w:iCs/>
          <w:color w:val="000000" w:themeColor="text1"/>
          <w:lang w:val="en-US"/>
        </w:rPr>
        <w:t xml:space="preserve"> </w:t>
      </w:r>
      <w:proofErr w:type="spellStart"/>
      <w:r w:rsidR="006D7D38" w:rsidRPr="00BD3F27">
        <w:rPr>
          <w:rFonts w:eastAsiaTheme="minorHAnsi"/>
          <w:i/>
          <w:iCs/>
          <w:color w:val="000000" w:themeColor="text1"/>
          <w:lang w:val="en-US"/>
        </w:rPr>
        <w:t>Biol</w:t>
      </w:r>
      <w:proofErr w:type="spellEnd"/>
      <w:r w:rsidR="006D7D38" w:rsidRPr="00BD3F27">
        <w:rPr>
          <w:rFonts w:eastAsiaTheme="minorHAnsi"/>
          <w:i/>
          <w:iCs/>
          <w:color w:val="000000" w:themeColor="text1"/>
          <w:lang w:val="en-US"/>
        </w:rPr>
        <w:t xml:space="preserve"> Interact </w:t>
      </w:r>
      <w:r w:rsidR="006D7D38" w:rsidRPr="00BD3F27">
        <w:rPr>
          <w:rFonts w:eastAsiaTheme="minorHAnsi"/>
          <w:color w:val="000000" w:themeColor="text1"/>
          <w:lang w:val="en-US"/>
        </w:rPr>
        <w:t xml:space="preserve">2006, </w:t>
      </w:r>
      <w:r w:rsidR="006D7D38" w:rsidRPr="00BD3F27">
        <w:rPr>
          <w:rFonts w:eastAsiaTheme="minorHAnsi"/>
          <w:b/>
          <w:bCs/>
          <w:color w:val="000000" w:themeColor="text1"/>
          <w:lang w:val="en-US"/>
        </w:rPr>
        <w:t>160</w:t>
      </w:r>
      <w:r w:rsidR="006D7D38" w:rsidRPr="00BD3F27">
        <w:rPr>
          <w:rFonts w:eastAsiaTheme="minorHAnsi"/>
          <w:color w:val="000000" w:themeColor="text1"/>
          <w:lang w:val="en-US"/>
        </w:rPr>
        <w:t>(1):1-40.</w:t>
      </w:r>
    </w:p>
    <w:p w:rsidR="006D7D38" w:rsidRPr="00BD3F27" w:rsidRDefault="00832C9D" w:rsidP="000B470E">
      <w:pPr>
        <w:autoSpaceDE w:val="0"/>
        <w:autoSpaceDN w:val="0"/>
        <w:adjustRightInd w:val="0"/>
        <w:spacing w:line="480" w:lineRule="auto"/>
        <w:ind w:left="720" w:hanging="720"/>
        <w:jc w:val="both"/>
        <w:rPr>
          <w:rFonts w:eastAsiaTheme="minorHAnsi"/>
          <w:color w:val="000000" w:themeColor="text1"/>
          <w:lang w:val="en-US"/>
        </w:rPr>
      </w:pPr>
      <w:r w:rsidRPr="00BD3F27">
        <w:rPr>
          <w:rFonts w:eastAsiaTheme="minorHAnsi"/>
          <w:color w:val="000000" w:themeColor="text1"/>
          <w:lang w:val="en-US"/>
        </w:rPr>
        <w:t>5</w:t>
      </w:r>
      <w:r w:rsidR="006D7D38" w:rsidRPr="00BD3F27">
        <w:rPr>
          <w:rFonts w:eastAsiaTheme="minorHAnsi"/>
          <w:color w:val="000000" w:themeColor="text1"/>
          <w:lang w:val="en-US"/>
        </w:rPr>
        <w:t>.</w:t>
      </w:r>
      <w:r w:rsidR="006D7D38" w:rsidRPr="00BD3F27">
        <w:rPr>
          <w:rFonts w:eastAsiaTheme="minorHAnsi"/>
          <w:color w:val="000000" w:themeColor="text1"/>
          <w:lang w:val="en-US"/>
        </w:rPr>
        <w:tab/>
        <w:t xml:space="preserve">Leaver MJ, Wright J, George SG: </w:t>
      </w:r>
      <w:r w:rsidR="006D7D38" w:rsidRPr="00BD3F27">
        <w:rPr>
          <w:rFonts w:eastAsiaTheme="minorHAnsi"/>
          <w:b/>
          <w:bCs/>
          <w:color w:val="000000" w:themeColor="text1"/>
          <w:lang w:val="en-US"/>
        </w:rPr>
        <w:t xml:space="preserve">Structure and expression of a cluster of glutathione </w:t>
      </w:r>
      <w:r w:rsidR="006D7D38" w:rsidRPr="00BD3F27">
        <w:rPr>
          <w:rFonts w:eastAsiaTheme="minorHAnsi"/>
          <w:b/>
          <w:bCs/>
          <w:i/>
          <w:color w:val="000000" w:themeColor="text1"/>
          <w:lang w:val="en-US"/>
        </w:rPr>
        <w:t>S</w:t>
      </w:r>
      <w:r w:rsidR="006D7D38" w:rsidRPr="00BD3F27">
        <w:rPr>
          <w:rFonts w:eastAsiaTheme="minorHAnsi"/>
          <w:b/>
          <w:bCs/>
          <w:color w:val="000000" w:themeColor="text1"/>
          <w:lang w:val="en-US"/>
        </w:rPr>
        <w:t>-</w:t>
      </w:r>
      <w:proofErr w:type="spellStart"/>
      <w:r w:rsidR="006D7D38" w:rsidRPr="00BD3F27">
        <w:rPr>
          <w:rFonts w:eastAsiaTheme="minorHAnsi"/>
          <w:b/>
          <w:bCs/>
          <w:color w:val="000000" w:themeColor="text1"/>
          <w:lang w:val="en-US"/>
        </w:rPr>
        <w:t>transferase</w:t>
      </w:r>
      <w:proofErr w:type="spellEnd"/>
      <w:r w:rsidR="006D7D38" w:rsidRPr="00BD3F27">
        <w:rPr>
          <w:rFonts w:eastAsiaTheme="minorHAnsi"/>
          <w:b/>
          <w:bCs/>
          <w:color w:val="000000" w:themeColor="text1"/>
          <w:lang w:val="en-US"/>
        </w:rPr>
        <w:t xml:space="preserve"> genes from a marine fish, the plaice (</w:t>
      </w:r>
      <w:proofErr w:type="spellStart"/>
      <w:r w:rsidR="00465FF9" w:rsidRPr="00BD3F27">
        <w:rPr>
          <w:rFonts w:eastAsiaTheme="minorHAnsi"/>
          <w:b/>
          <w:bCs/>
          <w:i/>
          <w:color w:val="000000" w:themeColor="text1"/>
          <w:lang w:val="en-US"/>
        </w:rPr>
        <w:t>Pleuronectes</w:t>
      </w:r>
      <w:proofErr w:type="spellEnd"/>
      <w:r w:rsidR="00465FF9" w:rsidRPr="00BD3F27">
        <w:rPr>
          <w:rFonts w:eastAsiaTheme="minorHAnsi"/>
          <w:b/>
          <w:bCs/>
          <w:i/>
          <w:color w:val="000000" w:themeColor="text1"/>
          <w:lang w:val="en-US"/>
        </w:rPr>
        <w:t xml:space="preserve"> </w:t>
      </w:r>
      <w:proofErr w:type="spellStart"/>
      <w:r w:rsidR="00465FF9" w:rsidRPr="00BD3F27">
        <w:rPr>
          <w:rFonts w:eastAsiaTheme="minorHAnsi"/>
          <w:b/>
          <w:bCs/>
          <w:i/>
          <w:color w:val="000000" w:themeColor="text1"/>
          <w:lang w:val="en-US"/>
        </w:rPr>
        <w:t>platessa</w:t>
      </w:r>
      <w:proofErr w:type="spellEnd"/>
      <w:r w:rsidR="006D7D38" w:rsidRPr="00BD3F27">
        <w:rPr>
          <w:rFonts w:eastAsiaTheme="minorHAnsi"/>
          <w:b/>
          <w:bCs/>
          <w:color w:val="000000" w:themeColor="text1"/>
          <w:lang w:val="en-US"/>
        </w:rPr>
        <w:t>)</w:t>
      </w:r>
      <w:r w:rsidR="006D7D38" w:rsidRPr="00BD3F27">
        <w:rPr>
          <w:rFonts w:eastAsiaTheme="minorHAnsi"/>
          <w:color w:val="000000" w:themeColor="text1"/>
          <w:lang w:val="en-US"/>
        </w:rPr>
        <w:t xml:space="preserve">. </w:t>
      </w:r>
      <w:r w:rsidR="006D7D38" w:rsidRPr="00BD3F27">
        <w:rPr>
          <w:rFonts w:eastAsiaTheme="minorHAnsi"/>
          <w:i/>
          <w:iCs/>
          <w:color w:val="000000" w:themeColor="text1"/>
          <w:lang w:val="en-US"/>
        </w:rPr>
        <w:t xml:space="preserve">Biochemical Journal </w:t>
      </w:r>
      <w:r w:rsidR="006D7D38" w:rsidRPr="00BD3F27">
        <w:rPr>
          <w:rFonts w:eastAsiaTheme="minorHAnsi"/>
          <w:color w:val="000000" w:themeColor="text1"/>
          <w:lang w:val="en-US"/>
        </w:rPr>
        <w:t xml:space="preserve">1997, </w:t>
      </w:r>
      <w:r w:rsidR="006D7D38" w:rsidRPr="00BD3F27">
        <w:rPr>
          <w:rFonts w:eastAsiaTheme="minorHAnsi"/>
          <w:b/>
          <w:bCs/>
          <w:color w:val="000000" w:themeColor="text1"/>
          <w:lang w:val="en-US"/>
        </w:rPr>
        <w:t>321</w:t>
      </w:r>
      <w:r w:rsidR="006D7D38" w:rsidRPr="00BD3F27">
        <w:rPr>
          <w:rFonts w:eastAsiaTheme="minorHAnsi"/>
          <w:color w:val="000000" w:themeColor="text1"/>
          <w:lang w:val="en-US"/>
        </w:rPr>
        <w:t>:405-412.</w:t>
      </w:r>
    </w:p>
    <w:p w:rsidR="00EA1CF5" w:rsidRPr="00BD3F27" w:rsidRDefault="00832C9D" w:rsidP="000B470E">
      <w:pPr>
        <w:autoSpaceDE w:val="0"/>
        <w:autoSpaceDN w:val="0"/>
        <w:adjustRightInd w:val="0"/>
        <w:spacing w:line="480" w:lineRule="auto"/>
        <w:ind w:left="720" w:hanging="720"/>
        <w:jc w:val="both"/>
        <w:rPr>
          <w:rFonts w:eastAsiaTheme="minorHAnsi"/>
          <w:color w:val="000000" w:themeColor="text1"/>
          <w:lang w:val="en-US"/>
        </w:rPr>
      </w:pPr>
      <w:r w:rsidRPr="00BD3F27">
        <w:rPr>
          <w:rFonts w:eastAsiaTheme="minorHAnsi"/>
          <w:color w:val="000000" w:themeColor="text1"/>
          <w:lang w:val="en-US"/>
        </w:rPr>
        <w:t>6</w:t>
      </w:r>
      <w:r w:rsidR="009C3D5B" w:rsidRPr="00BD3F27">
        <w:rPr>
          <w:rFonts w:eastAsiaTheme="minorHAnsi"/>
          <w:color w:val="000000" w:themeColor="text1"/>
          <w:lang w:val="en-US"/>
        </w:rPr>
        <w:t>.</w:t>
      </w:r>
      <w:r w:rsidR="00EA1CF5" w:rsidRPr="00BD3F27">
        <w:rPr>
          <w:rFonts w:eastAsiaTheme="minorHAnsi"/>
          <w:color w:val="000000" w:themeColor="text1"/>
          <w:lang w:val="en-US"/>
        </w:rPr>
        <w:tab/>
        <w:t xml:space="preserve">Scott K, Leaver M, George SG: </w:t>
      </w:r>
      <w:r w:rsidR="00EA1CF5" w:rsidRPr="00BD3F27">
        <w:rPr>
          <w:rFonts w:eastAsiaTheme="minorHAnsi"/>
          <w:b/>
          <w:color w:val="000000" w:themeColor="text1"/>
          <w:lang w:val="en-US"/>
        </w:rPr>
        <w:t xml:space="preserve">Regulation of glutathione </w:t>
      </w:r>
      <w:r w:rsidR="00EA1CF5" w:rsidRPr="00BD3F27">
        <w:rPr>
          <w:rFonts w:eastAsiaTheme="minorHAnsi"/>
          <w:b/>
          <w:i/>
          <w:color w:val="000000" w:themeColor="text1"/>
          <w:lang w:val="en-US"/>
        </w:rPr>
        <w:t>S</w:t>
      </w:r>
      <w:r w:rsidR="00EA1CF5" w:rsidRPr="00BD3F27">
        <w:rPr>
          <w:rFonts w:eastAsiaTheme="minorHAnsi"/>
          <w:b/>
          <w:color w:val="000000" w:themeColor="text1"/>
          <w:lang w:val="en-US"/>
        </w:rPr>
        <w:t>-</w:t>
      </w:r>
      <w:proofErr w:type="spellStart"/>
      <w:r w:rsidR="00EA1CF5" w:rsidRPr="00BD3F27">
        <w:rPr>
          <w:rFonts w:eastAsiaTheme="minorHAnsi"/>
          <w:b/>
          <w:color w:val="000000" w:themeColor="text1"/>
          <w:lang w:val="en-US"/>
        </w:rPr>
        <w:t>transferase</w:t>
      </w:r>
      <w:proofErr w:type="spellEnd"/>
      <w:r w:rsidR="00EA1CF5" w:rsidRPr="00BD3F27">
        <w:rPr>
          <w:rFonts w:eastAsiaTheme="minorHAnsi"/>
          <w:b/>
          <w:color w:val="000000" w:themeColor="text1"/>
          <w:lang w:val="en-US"/>
        </w:rPr>
        <w:t xml:space="preserve"> </w:t>
      </w:r>
      <w:proofErr w:type="gramStart"/>
      <w:r w:rsidR="00EA1CF5" w:rsidRPr="00BD3F27">
        <w:rPr>
          <w:rFonts w:eastAsiaTheme="minorHAnsi"/>
          <w:b/>
          <w:color w:val="000000" w:themeColor="text1"/>
          <w:lang w:val="en-US"/>
        </w:rPr>
        <w:t>A</w:t>
      </w:r>
      <w:proofErr w:type="gramEnd"/>
      <w:r w:rsidR="00EA1CF5" w:rsidRPr="00BD3F27">
        <w:rPr>
          <w:rFonts w:eastAsiaTheme="minorHAnsi"/>
          <w:b/>
          <w:color w:val="000000" w:themeColor="text1"/>
          <w:lang w:val="en-US"/>
        </w:rPr>
        <w:t xml:space="preserve"> expression in flounders</w:t>
      </w:r>
      <w:r w:rsidR="00EA1CF5" w:rsidRPr="00BD3F27">
        <w:rPr>
          <w:rFonts w:eastAsiaTheme="minorHAnsi"/>
          <w:color w:val="000000" w:themeColor="text1"/>
          <w:lang w:val="en-US"/>
        </w:rPr>
        <w:t xml:space="preserve">. </w:t>
      </w:r>
      <w:r w:rsidR="00EA1CF5" w:rsidRPr="00BD3F27">
        <w:rPr>
          <w:rFonts w:eastAsiaTheme="minorHAnsi"/>
          <w:i/>
          <w:color w:val="000000" w:themeColor="text1"/>
          <w:lang w:val="en-US"/>
        </w:rPr>
        <w:t xml:space="preserve">Mar. Environ. Res. </w:t>
      </w:r>
      <w:r w:rsidR="00EA1CF5" w:rsidRPr="00BD3F27">
        <w:rPr>
          <w:rFonts w:eastAsiaTheme="minorHAnsi"/>
          <w:b/>
          <w:color w:val="000000" w:themeColor="text1"/>
          <w:lang w:val="en-US"/>
        </w:rPr>
        <w:t>34</w:t>
      </w:r>
      <w:r w:rsidR="00EA1CF5" w:rsidRPr="00BD3F27">
        <w:rPr>
          <w:rFonts w:eastAsiaTheme="minorHAnsi"/>
          <w:color w:val="000000" w:themeColor="text1"/>
          <w:lang w:val="en-US"/>
        </w:rPr>
        <w:t>:233-236</w:t>
      </w:r>
    </w:p>
    <w:p w:rsidR="00244C92" w:rsidRPr="00BD3F27" w:rsidRDefault="00832C9D" w:rsidP="000B470E">
      <w:pPr>
        <w:autoSpaceDE w:val="0"/>
        <w:autoSpaceDN w:val="0"/>
        <w:adjustRightInd w:val="0"/>
        <w:spacing w:line="480" w:lineRule="auto"/>
        <w:ind w:left="720" w:hanging="720"/>
        <w:jc w:val="both"/>
        <w:rPr>
          <w:rFonts w:eastAsiaTheme="minorHAnsi"/>
          <w:color w:val="000000" w:themeColor="text1"/>
          <w:lang w:val="en-US"/>
        </w:rPr>
      </w:pPr>
      <w:r w:rsidRPr="00BD3F27">
        <w:rPr>
          <w:rFonts w:eastAsiaTheme="minorHAnsi"/>
          <w:color w:val="000000" w:themeColor="text1"/>
          <w:lang w:val="en-US"/>
        </w:rPr>
        <w:t>7</w:t>
      </w:r>
      <w:r w:rsidR="006D7D38" w:rsidRPr="00BD3F27">
        <w:rPr>
          <w:rFonts w:eastAsiaTheme="minorHAnsi"/>
          <w:color w:val="000000" w:themeColor="text1"/>
          <w:lang w:val="en-US"/>
        </w:rPr>
        <w:t>.</w:t>
      </w:r>
      <w:r w:rsidR="006D7D38" w:rsidRPr="00BD3F27">
        <w:rPr>
          <w:rFonts w:eastAsiaTheme="minorHAnsi"/>
          <w:color w:val="000000" w:themeColor="text1"/>
          <w:lang w:val="en-US"/>
        </w:rPr>
        <w:tab/>
        <w:t xml:space="preserve">Martinez-Lara E, Leaver M, George S: </w:t>
      </w:r>
      <w:r w:rsidR="006D7D38" w:rsidRPr="00BD3F27">
        <w:rPr>
          <w:rFonts w:eastAsiaTheme="minorHAnsi"/>
          <w:b/>
          <w:bCs/>
          <w:color w:val="000000" w:themeColor="text1"/>
          <w:lang w:val="en-US"/>
        </w:rPr>
        <w:t xml:space="preserve">Evidence from heterologous expression of glutathione </w:t>
      </w:r>
      <w:r w:rsidR="006D7D38" w:rsidRPr="00BD3F27">
        <w:rPr>
          <w:rFonts w:eastAsiaTheme="minorHAnsi"/>
          <w:b/>
          <w:bCs/>
          <w:i/>
          <w:color w:val="000000" w:themeColor="text1"/>
          <w:lang w:val="en-US"/>
        </w:rPr>
        <w:t>S</w:t>
      </w:r>
      <w:r w:rsidR="006D7D38" w:rsidRPr="00BD3F27">
        <w:rPr>
          <w:rFonts w:eastAsiaTheme="minorHAnsi"/>
          <w:b/>
          <w:bCs/>
          <w:color w:val="000000" w:themeColor="text1"/>
          <w:lang w:val="en-US"/>
        </w:rPr>
        <w:t>-</w:t>
      </w:r>
      <w:proofErr w:type="spellStart"/>
      <w:r w:rsidR="006D7D38" w:rsidRPr="00BD3F27">
        <w:rPr>
          <w:rFonts w:eastAsiaTheme="minorHAnsi"/>
          <w:b/>
          <w:bCs/>
          <w:color w:val="000000" w:themeColor="text1"/>
          <w:lang w:val="en-US"/>
        </w:rPr>
        <w:t>transferases</w:t>
      </w:r>
      <w:proofErr w:type="spellEnd"/>
      <w:r w:rsidR="006D7D38" w:rsidRPr="00BD3F27">
        <w:rPr>
          <w:rFonts w:eastAsiaTheme="minorHAnsi"/>
          <w:b/>
          <w:bCs/>
          <w:color w:val="000000" w:themeColor="text1"/>
          <w:lang w:val="en-US"/>
        </w:rPr>
        <w:t xml:space="preserve"> A and A1 of the plaice (</w:t>
      </w:r>
      <w:proofErr w:type="spellStart"/>
      <w:r w:rsidR="006D7D38" w:rsidRPr="00BD3F27">
        <w:rPr>
          <w:rFonts w:eastAsiaTheme="minorHAnsi"/>
          <w:b/>
          <w:bCs/>
          <w:i/>
          <w:color w:val="000000" w:themeColor="text1"/>
          <w:lang w:val="en-US"/>
        </w:rPr>
        <w:t>Pleuronectes</w:t>
      </w:r>
      <w:proofErr w:type="spellEnd"/>
      <w:r w:rsidR="006D7D38" w:rsidRPr="00BD3F27">
        <w:rPr>
          <w:rFonts w:eastAsiaTheme="minorHAnsi"/>
          <w:b/>
          <w:bCs/>
          <w:i/>
          <w:color w:val="000000" w:themeColor="text1"/>
          <w:lang w:val="en-US"/>
        </w:rPr>
        <w:t xml:space="preserve"> </w:t>
      </w:r>
      <w:proofErr w:type="spellStart"/>
      <w:r w:rsidR="006D7D38" w:rsidRPr="00BD3F27">
        <w:rPr>
          <w:rFonts w:eastAsiaTheme="minorHAnsi"/>
          <w:b/>
          <w:bCs/>
          <w:i/>
          <w:color w:val="000000" w:themeColor="text1"/>
          <w:lang w:val="en-US"/>
        </w:rPr>
        <w:t>platessa</w:t>
      </w:r>
      <w:proofErr w:type="spellEnd"/>
      <w:r w:rsidR="006D7D38" w:rsidRPr="00BD3F27">
        <w:rPr>
          <w:rFonts w:eastAsiaTheme="minorHAnsi"/>
          <w:b/>
          <w:bCs/>
          <w:color w:val="000000" w:themeColor="text1"/>
          <w:lang w:val="en-US"/>
        </w:rPr>
        <w:t>) that their endogenous role is in detoxification of lipid peroxidation products</w:t>
      </w:r>
      <w:r w:rsidR="006D7D38" w:rsidRPr="00BD3F27">
        <w:rPr>
          <w:rFonts w:eastAsiaTheme="minorHAnsi"/>
          <w:color w:val="000000" w:themeColor="text1"/>
          <w:lang w:val="en-US"/>
        </w:rPr>
        <w:t xml:space="preserve">. </w:t>
      </w:r>
      <w:r w:rsidR="006D7D38" w:rsidRPr="00BD3F27">
        <w:rPr>
          <w:rFonts w:eastAsiaTheme="minorHAnsi"/>
          <w:i/>
          <w:iCs/>
          <w:color w:val="000000" w:themeColor="text1"/>
          <w:lang w:val="en-US"/>
        </w:rPr>
        <w:t xml:space="preserve">Mar Environ Res </w:t>
      </w:r>
      <w:r w:rsidR="006D7D38" w:rsidRPr="00BD3F27">
        <w:rPr>
          <w:rFonts w:eastAsiaTheme="minorHAnsi"/>
          <w:color w:val="000000" w:themeColor="text1"/>
          <w:lang w:val="en-US"/>
        </w:rPr>
        <w:t xml:space="preserve">2002, </w:t>
      </w:r>
      <w:r w:rsidR="006D7D38" w:rsidRPr="00BD3F27">
        <w:rPr>
          <w:rFonts w:eastAsiaTheme="minorHAnsi"/>
          <w:b/>
          <w:bCs/>
          <w:color w:val="000000" w:themeColor="text1"/>
          <w:lang w:val="en-US"/>
        </w:rPr>
        <w:t>54</w:t>
      </w:r>
      <w:r w:rsidR="006D7D38" w:rsidRPr="00BD3F27">
        <w:rPr>
          <w:rFonts w:eastAsiaTheme="minorHAnsi"/>
          <w:color w:val="000000" w:themeColor="text1"/>
          <w:lang w:val="en-US"/>
        </w:rPr>
        <w:t>(3-5):263-266.</w:t>
      </w:r>
    </w:p>
    <w:p w:rsidR="00660C2B" w:rsidRPr="00BD3F27" w:rsidRDefault="00832C9D" w:rsidP="009C3D5B">
      <w:pPr>
        <w:autoSpaceDE w:val="0"/>
        <w:autoSpaceDN w:val="0"/>
        <w:adjustRightInd w:val="0"/>
        <w:spacing w:line="480" w:lineRule="auto"/>
        <w:ind w:left="720" w:hanging="720"/>
        <w:jc w:val="both"/>
        <w:rPr>
          <w:rFonts w:eastAsiaTheme="minorHAnsi"/>
          <w:color w:val="000000" w:themeColor="text1"/>
          <w:lang w:val="en-US"/>
        </w:rPr>
      </w:pPr>
      <w:r w:rsidRPr="00BD3F27">
        <w:rPr>
          <w:color w:val="000000" w:themeColor="text1"/>
        </w:rPr>
        <w:t>8</w:t>
      </w:r>
      <w:r w:rsidR="009C3D5B" w:rsidRPr="00BD3F27">
        <w:rPr>
          <w:color w:val="000000" w:themeColor="text1"/>
        </w:rPr>
        <w:t>.</w:t>
      </w:r>
      <w:r w:rsidR="009C3D5B" w:rsidRPr="00BD3F27">
        <w:rPr>
          <w:color w:val="000000" w:themeColor="text1"/>
        </w:rPr>
        <w:tab/>
      </w:r>
      <w:r w:rsidR="00660C2B" w:rsidRPr="00BD3F27">
        <w:rPr>
          <w:color w:val="000000" w:themeColor="text1"/>
        </w:rPr>
        <w:t xml:space="preserve">George S, Wright J, </w:t>
      </w:r>
      <w:proofErr w:type="spellStart"/>
      <w:proofErr w:type="gramStart"/>
      <w:r w:rsidR="00660C2B" w:rsidRPr="00BD3F27">
        <w:rPr>
          <w:color w:val="000000" w:themeColor="text1"/>
        </w:rPr>
        <w:t>Carpene</w:t>
      </w:r>
      <w:proofErr w:type="spellEnd"/>
      <w:proofErr w:type="gramEnd"/>
      <w:r w:rsidR="00660C2B" w:rsidRPr="00BD3F27">
        <w:rPr>
          <w:color w:val="000000" w:themeColor="text1"/>
        </w:rPr>
        <w:t xml:space="preserve"> E, </w:t>
      </w:r>
      <w:proofErr w:type="spellStart"/>
      <w:r w:rsidR="00660C2B" w:rsidRPr="00BD3F27">
        <w:rPr>
          <w:color w:val="000000" w:themeColor="text1"/>
        </w:rPr>
        <w:t>Kindt</w:t>
      </w:r>
      <w:proofErr w:type="spellEnd"/>
      <w:r w:rsidR="00660C2B" w:rsidRPr="00BD3F27">
        <w:rPr>
          <w:color w:val="000000" w:themeColor="text1"/>
        </w:rPr>
        <w:t xml:space="preserve"> M: </w:t>
      </w:r>
      <w:r w:rsidR="00660C2B" w:rsidRPr="00BD3F27">
        <w:rPr>
          <w:b/>
          <w:color w:val="000000" w:themeColor="text1"/>
        </w:rPr>
        <w:t xml:space="preserve">Kinetics and magnitude of </w:t>
      </w:r>
      <w:proofErr w:type="spellStart"/>
      <w:r w:rsidR="00660C2B" w:rsidRPr="00BD3F27">
        <w:rPr>
          <w:b/>
          <w:color w:val="000000" w:themeColor="text1"/>
        </w:rPr>
        <w:t>metallothionein</w:t>
      </w:r>
      <w:proofErr w:type="spellEnd"/>
      <w:r w:rsidR="00660C2B" w:rsidRPr="00BD3F27">
        <w:rPr>
          <w:b/>
          <w:color w:val="000000" w:themeColor="text1"/>
        </w:rPr>
        <w:t xml:space="preserve"> induction by </w:t>
      </w:r>
      <w:proofErr w:type="spellStart"/>
      <w:r w:rsidR="00660C2B" w:rsidRPr="00BD3F27">
        <w:rPr>
          <w:b/>
          <w:color w:val="000000" w:themeColor="text1"/>
        </w:rPr>
        <w:t>Cd</w:t>
      </w:r>
      <w:proofErr w:type="spellEnd"/>
      <w:r w:rsidR="00660C2B" w:rsidRPr="00BD3F27">
        <w:rPr>
          <w:b/>
          <w:color w:val="000000" w:themeColor="text1"/>
        </w:rPr>
        <w:t xml:space="preserve">, Cu, </w:t>
      </w:r>
      <w:r w:rsidR="00360106" w:rsidRPr="00BD3F27">
        <w:rPr>
          <w:b/>
          <w:color w:val="000000" w:themeColor="text1"/>
        </w:rPr>
        <w:t xml:space="preserve">Hg and Zn in European flounder - </w:t>
      </w:r>
      <w:r w:rsidR="00660C2B" w:rsidRPr="00BD3F27">
        <w:rPr>
          <w:b/>
          <w:color w:val="000000" w:themeColor="text1"/>
        </w:rPr>
        <w:t xml:space="preserve">calibration for environmental monitoring. </w:t>
      </w:r>
      <w:r w:rsidR="00660C2B" w:rsidRPr="00BD3F27">
        <w:rPr>
          <w:i/>
          <w:color w:val="000000" w:themeColor="text1"/>
        </w:rPr>
        <w:t>Mar. Environ. Res</w:t>
      </w:r>
      <w:r w:rsidR="00660C2B" w:rsidRPr="00BD3F27">
        <w:rPr>
          <w:color w:val="000000" w:themeColor="text1"/>
        </w:rPr>
        <w:t xml:space="preserve"> 1999, </w:t>
      </w:r>
      <w:r w:rsidR="00360106" w:rsidRPr="00BD3F27">
        <w:rPr>
          <w:b/>
          <w:color w:val="000000" w:themeColor="text1"/>
        </w:rPr>
        <w:t>50</w:t>
      </w:r>
      <w:r w:rsidR="00360106" w:rsidRPr="00BD3F27">
        <w:rPr>
          <w:color w:val="000000" w:themeColor="text1"/>
        </w:rPr>
        <w:t>:433-434</w:t>
      </w:r>
    </w:p>
    <w:p w:rsidR="009C3D5B" w:rsidRPr="00BD3F27" w:rsidRDefault="00832C9D" w:rsidP="009C3D5B">
      <w:pPr>
        <w:autoSpaceDE w:val="0"/>
        <w:autoSpaceDN w:val="0"/>
        <w:adjustRightInd w:val="0"/>
        <w:spacing w:line="480" w:lineRule="auto"/>
        <w:ind w:left="720" w:hanging="720"/>
        <w:jc w:val="both"/>
        <w:rPr>
          <w:color w:val="000000" w:themeColor="text1"/>
        </w:rPr>
      </w:pPr>
      <w:r w:rsidRPr="00BD3F27">
        <w:rPr>
          <w:color w:val="000000" w:themeColor="text1"/>
        </w:rPr>
        <w:lastRenderedPageBreak/>
        <w:t>9</w:t>
      </w:r>
      <w:r w:rsidR="009C3D5B" w:rsidRPr="00BD3F27">
        <w:rPr>
          <w:color w:val="000000" w:themeColor="text1"/>
        </w:rPr>
        <w:t>.</w:t>
      </w:r>
      <w:r w:rsidR="009C3D5B" w:rsidRPr="00BD3F27">
        <w:rPr>
          <w:color w:val="000000" w:themeColor="text1"/>
        </w:rPr>
        <w:tab/>
        <w:t xml:space="preserve">Williams TD, </w:t>
      </w:r>
      <w:proofErr w:type="spellStart"/>
      <w:r w:rsidR="009C3D5B" w:rsidRPr="00BD3F27">
        <w:rPr>
          <w:color w:val="000000" w:themeColor="text1"/>
        </w:rPr>
        <w:t>Diab</w:t>
      </w:r>
      <w:proofErr w:type="spellEnd"/>
      <w:r w:rsidR="009C3D5B" w:rsidRPr="00BD3F27">
        <w:rPr>
          <w:color w:val="000000" w:themeColor="text1"/>
        </w:rPr>
        <w:t xml:space="preserve"> A, Ortega F, Sabine VS, Godfrey RE, </w:t>
      </w:r>
      <w:proofErr w:type="spellStart"/>
      <w:r w:rsidR="009C3D5B" w:rsidRPr="00BD3F27">
        <w:rPr>
          <w:color w:val="000000" w:themeColor="text1"/>
        </w:rPr>
        <w:t>Falciani</w:t>
      </w:r>
      <w:proofErr w:type="spellEnd"/>
      <w:r w:rsidR="009C3D5B" w:rsidRPr="00BD3F27">
        <w:rPr>
          <w:color w:val="000000" w:themeColor="text1"/>
        </w:rPr>
        <w:t xml:space="preserve"> F, </w:t>
      </w:r>
      <w:proofErr w:type="spellStart"/>
      <w:r w:rsidR="009C3D5B" w:rsidRPr="00BD3F27">
        <w:rPr>
          <w:color w:val="000000" w:themeColor="text1"/>
        </w:rPr>
        <w:t>Chipman</w:t>
      </w:r>
      <w:proofErr w:type="spellEnd"/>
      <w:r w:rsidR="009C3D5B" w:rsidRPr="00BD3F27">
        <w:rPr>
          <w:color w:val="000000" w:themeColor="text1"/>
        </w:rPr>
        <w:t xml:space="preserve"> JK, </w:t>
      </w:r>
      <w:proofErr w:type="gramStart"/>
      <w:r w:rsidR="009C3D5B" w:rsidRPr="00BD3F27">
        <w:rPr>
          <w:color w:val="000000" w:themeColor="text1"/>
        </w:rPr>
        <w:t>George</w:t>
      </w:r>
      <w:proofErr w:type="gramEnd"/>
      <w:r w:rsidR="009C3D5B" w:rsidRPr="00BD3F27">
        <w:rPr>
          <w:color w:val="000000" w:themeColor="text1"/>
        </w:rPr>
        <w:t xml:space="preserve"> SG: </w:t>
      </w:r>
      <w:proofErr w:type="spellStart"/>
      <w:r w:rsidR="009C3D5B" w:rsidRPr="00BD3F27">
        <w:rPr>
          <w:b/>
          <w:bCs/>
          <w:color w:val="000000" w:themeColor="text1"/>
        </w:rPr>
        <w:t>Transcriptomic</w:t>
      </w:r>
      <w:proofErr w:type="spellEnd"/>
      <w:r w:rsidR="009C3D5B" w:rsidRPr="00BD3F27">
        <w:rPr>
          <w:b/>
          <w:bCs/>
          <w:color w:val="000000" w:themeColor="text1"/>
        </w:rPr>
        <w:t xml:space="preserve"> responses of European flounder (</w:t>
      </w:r>
      <w:proofErr w:type="spellStart"/>
      <w:r w:rsidR="00465FF9" w:rsidRPr="00BD3F27">
        <w:rPr>
          <w:b/>
          <w:bCs/>
          <w:i/>
          <w:color w:val="000000" w:themeColor="text1"/>
        </w:rPr>
        <w:t>Platichthys</w:t>
      </w:r>
      <w:proofErr w:type="spellEnd"/>
      <w:r w:rsidR="00465FF9" w:rsidRPr="00BD3F27">
        <w:rPr>
          <w:b/>
          <w:bCs/>
          <w:i/>
          <w:color w:val="000000" w:themeColor="text1"/>
        </w:rPr>
        <w:t xml:space="preserve"> </w:t>
      </w:r>
      <w:proofErr w:type="spellStart"/>
      <w:r w:rsidR="00465FF9" w:rsidRPr="00BD3F27">
        <w:rPr>
          <w:b/>
          <w:bCs/>
          <w:i/>
          <w:color w:val="000000" w:themeColor="text1"/>
        </w:rPr>
        <w:t>flesus</w:t>
      </w:r>
      <w:proofErr w:type="spellEnd"/>
      <w:r w:rsidR="009C3D5B" w:rsidRPr="00BD3F27">
        <w:rPr>
          <w:b/>
          <w:bCs/>
          <w:color w:val="000000" w:themeColor="text1"/>
        </w:rPr>
        <w:t>) to model toxicants</w:t>
      </w:r>
      <w:r w:rsidR="009C3D5B" w:rsidRPr="00BD3F27">
        <w:rPr>
          <w:color w:val="000000" w:themeColor="text1"/>
        </w:rPr>
        <w:t xml:space="preserve">. </w:t>
      </w:r>
      <w:proofErr w:type="spellStart"/>
      <w:r w:rsidR="009C3D5B" w:rsidRPr="00BD3F27">
        <w:rPr>
          <w:i/>
          <w:iCs/>
          <w:color w:val="000000" w:themeColor="text1"/>
        </w:rPr>
        <w:t>Aquat</w:t>
      </w:r>
      <w:proofErr w:type="spellEnd"/>
      <w:r w:rsidR="009C3D5B" w:rsidRPr="00BD3F27">
        <w:rPr>
          <w:i/>
          <w:iCs/>
          <w:color w:val="000000" w:themeColor="text1"/>
        </w:rPr>
        <w:t xml:space="preserve"> </w:t>
      </w:r>
      <w:proofErr w:type="spellStart"/>
      <w:r w:rsidR="009C3D5B" w:rsidRPr="00BD3F27">
        <w:rPr>
          <w:i/>
          <w:iCs/>
          <w:color w:val="000000" w:themeColor="text1"/>
        </w:rPr>
        <w:t>Toxicol</w:t>
      </w:r>
      <w:proofErr w:type="spellEnd"/>
      <w:r w:rsidR="009C3D5B" w:rsidRPr="00BD3F27">
        <w:rPr>
          <w:i/>
          <w:iCs/>
          <w:color w:val="000000" w:themeColor="text1"/>
        </w:rPr>
        <w:t xml:space="preserve"> </w:t>
      </w:r>
      <w:r w:rsidR="009C3D5B" w:rsidRPr="00BD3F27">
        <w:rPr>
          <w:color w:val="000000" w:themeColor="text1"/>
        </w:rPr>
        <w:t xml:space="preserve">2008, </w:t>
      </w:r>
      <w:r w:rsidR="009C3D5B" w:rsidRPr="00BD3F27">
        <w:rPr>
          <w:b/>
          <w:bCs/>
          <w:color w:val="000000" w:themeColor="text1"/>
        </w:rPr>
        <w:t>90</w:t>
      </w:r>
      <w:r w:rsidR="009C3D5B" w:rsidRPr="00BD3F27">
        <w:rPr>
          <w:color w:val="000000" w:themeColor="text1"/>
        </w:rPr>
        <w:t>(2):83-91.</w:t>
      </w:r>
    </w:p>
    <w:p w:rsidR="000B470E" w:rsidRPr="00BD3F27" w:rsidRDefault="00832C9D" w:rsidP="000B470E">
      <w:pPr>
        <w:autoSpaceDE w:val="0"/>
        <w:autoSpaceDN w:val="0"/>
        <w:adjustRightInd w:val="0"/>
        <w:spacing w:line="480" w:lineRule="auto"/>
        <w:ind w:left="720" w:hanging="720"/>
        <w:jc w:val="both"/>
        <w:rPr>
          <w:color w:val="000000" w:themeColor="text1"/>
          <w:lang w:val="en-US"/>
        </w:rPr>
      </w:pPr>
      <w:r w:rsidRPr="00BD3F27">
        <w:rPr>
          <w:color w:val="000000" w:themeColor="text1"/>
        </w:rPr>
        <w:t>10</w:t>
      </w:r>
      <w:r w:rsidR="000B470E" w:rsidRPr="00BD3F27">
        <w:rPr>
          <w:color w:val="000000" w:themeColor="text1"/>
        </w:rPr>
        <w:t>.</w:t>
      </w:r>
      <w:r w:rsidR="000B470E" w:rsidRPr="00BD3F27">
        <w:rPr>
          <w:color w:val="000000" w:themeColor="text1"/>
        </w:rPr>
        <w:tab/>
        <w:t xml:space="preserve">Leaver MJ, </w:t>
      </w:r>
      <w:proofErr w:type="spellStart"/>
      <w:r w:rsidR="000B470E" w:rsidRPr="00BD3F27">
        <w:rPr>
          <w:color w:val="000000" w:themeColor="text1"/>
        </w:rPr>
        <w:t>Diab</w:t>
      </w:r>
      <w:proofErr w:type="spellEnd"/>
      <w:r w:rsidR="000B470E" w:rsidRPr="00BD3F27">
        <w:rPr>
          <w:color w:val="000000" w:themeColor="text1"/>
        </w:rPr>
        <w:t xml:space="preserve"> A, </w:t>
      </w:r>
      <w:proofErr w:type="spellStart"/>
      <w:r w:rsidR="000B470E" w:rsidRPr="00BD3F27">
        <w:rPr>
          <w:color w:val="000000" w:themeColor="text1"/>
        </w:rPr>
        <w:t>Boukouvala</w:t>
      </w:r>
      <w:proofErr w:type="spellEnd"/>
      <w:r w:rsidR="000B470E" w:rsidRPr="00BD3F27">
        <w:rPr>
          <w:color w:val="000000" w:themeColor="text1"/>
        </w:rPr>
        <w:t xml:space="preserve"> E, Williams TD, </w:t>
      </w:r>
      <w:proofErr w:type="spellStart"/>
      <w:r w:rsidR="000B470E" w:rsidRPr="00BD3F27">
        <w:rPr>
          <w:color w:val="000000" w:themeColor="text1"/>
        </w:rPr>
        <w:t>Chipman</w:t>
      </w:r>
      <w:proofErr w:type="spellEnd"/>
      <w:r w:rsidR="000B470E" w:rsidRPr="00BD3F27">
        <w:rPr>
          <w:color w:val="000000" w:themeColor="text1"/>
        </w:rPr>
        <w:t xml:space="preserve"> JK, </w:t>
      </w:r>
      <w:proofErr w:type="spellStart"/>
      <w:r w:rsidR="000B470E" w:rsidRPr="00BD3F27">
        <w:rPr>
          <w:color w:val="000000" w:themeColor="text1"/>
        </w:rPr>
        <w:t>Moffat</w:t>
      </w:r>
      <w:proofErr w:type="spellEnd"/>
      <w:r w:rsidR="000B470E" w:rsidRPr="00BD3F27">
        <w:rPr>
          <w:color w:val="000000" w:themeColor="text1"/>
        </w:rPr>
        <w:t xml:space="preserve"> CF, Robinson CD, George SG: </w:t>
      </w:r>
      <w:r w:rsidR="000B470E" w:rsidRPr="00BD3F27">
        <w:rPr>
          <w:b/>
          <w:bCs/>
          <w:color w:val="000000" w:themeColor="text1"/>
        </w:rPr>
        <w:t>Hepatic gene expression in flounder chronically exposed to multiply polluted estuarine sediment: Absence of classical exposure 'biomarker' signals and induction of inflammatory, innate immune and apoptotic pathways</w:t>
      </w:r>
      <w:r w:rsidR="000B470E" w:rsidRPr="00BD3F27">
        <w:rPr>
          <w:color w:val="000000" w:themeColor="text1"/>
        </w:rPr>
        <w:t xml:space="preserve">. </w:t>
      </w:r>
      <w:proofErr w:type="spellStart"/>
      <w:r w:rsidR="000B470E" w:rsidRPr="00BD3F27">
        <w:rPr>
          <w:i/>
          <w:iCs/>
          <w:color w:val="000000" w:themeColor="text1"/>
        </w:rPr>
        <w:t>Aquat</w:t>
      </w:r>
      <w:proofErr w:type="spellEnd"/>
      <w:r w:rsidR="000B470E" w:rsidRPr="00BD3F27">
        <w:rPr>
          <w:i/>
          <w:iCs/>
          <w:color w:val="000000" w:themeColor="text1"/>
        </w:rPr>
        <w:t xml:space="preserve"> </w:t>
      </w:r>
      <w:proofErr w:type="spellStart"/>
      <w:r w:rsidR="000B470E" w:rsidRPr="00BD3F27">
        <w:rPr>
          <w:i/>
          <w:iCs/>
          <w:color w:val="000000" w:themeColor="text1"/>
        </w:rPr>
        <w:t>Toxicol</w:t>
      </w:r>
      <w:proofErr w:type="spellEnd"/>
      <w:r w:rsidR="000B470E" w:rsidRPr="00BD3F27">
        <w:rPr>
          <w:i/>
          <w:iCs/>
          <w:color w:val="000000" w:themeColor="text1"/>
        </w:rPr>
        <w:t xml:space="preserve"> </w:t>
      </w:r>
      <w:r w:rsidR="000B470E" w:rsidRPr="00BD3F27">
        <w:rPr>
          <w:color w:val="000000" w:themeColor="text1"/>
        </w:rPr>
        <w:t xml:space="preserve">2010, </w:t>
      </w:r>
      <w:r w:rsidR="000B470E" w:rsidRPr="00BD3F27">
        <w:rPr>
          <w:b/>
          <w:bCs/>
          <w:color w:val="000000" w:themeColor="text1"/>
        </w:rPr>
        <w:t>96</w:t>
      </w:r>
      <w:r w:rsidR="000B470E" w:rsidRPr="00BD3F27">
        <w:rPr>
          <w:color w:val="000000" w:themeColor="text1"/>
        </w:rPr>
        <w:t>(3):234-245.</w:t>
      </w:r>
    </w:p>
    <w:p w:rsidR="000B470E" w:rsidRPr="00BD3F27" w:rsidRDefault="009C3D5B" w:rsidP="000B470E">
      <w:pPr>
        <w:spacing w:line="480" w:lineRule="auto"/>
        <w:ind w:left="720" w:hanging="720"/>
        <w:jc w:val="both"/>
        <w:rPr>
          <w:rFonts w:eastAsiaTheme="minorHAnsi"/>
          <w:color w:val="000000" w:themeColor="text1"/>
          <w:lang w:val="en-US"/>
        </w:rPr>
      </w:pPr>
      <w:r w:rsidRPr="00BD3F27">
        <w:rPr>
          <w:color w:val="000000" w:themeColor="text1"/>
        </w:rPr>
        <w:t>1</w:t>
      </w:r>
      <w:r w:rsidR="00832C9D" w:rsidRPr="00BD3F27">
        <w:rPr>
          <w:color w:val="000000" w:themeColor="text1"/>
        </w:rPr>
        <w:t>1</w:t>
      </w:r>
      <w:r w:rsidR="000B470E" w:rsidRPr="00BD3F27">
        <w:rPr>
          <w:color w:val="000000" w:themeColor="text1"/>
        </w:rPr>
        <w:t>.</w:t>
      </w:r>
      <w:r w:rsidR="000B470E" w:rsidRPr="00BD3F27">
        <w:rPr>
          <w:color w:val="000000" w:themeColor="text1"/>
        </w:rPr>
        <w:tab/>
      </w:r>
      <w:proofErr w:type="spellStart"/>
      <w:r w:rsidR="000B470E" w:rsidRPr="00BD3F27">
        <w:rPr>
          <w:color w:val="000000" w:themeColor="text1"/>
        </w:rPr>
        <w:t>Falciani</w:t>
      </w:r>
      <w:proofErr w:type="spellEnd"/>
      <w:r w:rsidR="000B470E" w:rsidRPr="00BD3F27">
        <w:rPr>
          <w:color w:val="000000" w:themeColor="text1"/>
        </w:rPr>
        <w:t xml:space="preserve"> F, </w:t>
      </w:r>
      <w:proofErr w:type="spellStart"/>
      <w:r w:rsidR="000B470E" w:rsidRPr="00BD3F27">
        <w:rPr>
          <w:color w:val="000000" w:themeColor="text1"/>
        </w:rPr>
        <w:t>Diab</w:t>
      </w:r>
      <w:proofErr w:type="spellEnd"/>
      <w:r w:rsidR="000B470E" w:rsidRPr="00BD3F27">
        <w:rPr>
          <w:color w:val="000000" w:themeColor="text1"/>
        </w:rPr>
        <w:t xml:space="preserve"> AM, Sabine V, Williams TD, Ortega F, George SG, </w:t>
      </w:r>
      <w:proofErr w:type="spellStart"/>
      <w:r w:rsidR="000B470E" w:rsidRPr="00BD3F27">
        <w:rPr>
          <w:color w:val="000000" w:themeColor="text1"/>
        </w:rPr>
        <w:t>Chipman</w:t>
      </w:r>
      <w:proofErr w:type="spellEnd"/>
      <w:r w:rsidR="000B470E" w:rsidRPr="00BD3F27">
        <w:rPr>
          <w:color w:val="000000" w:themeColor="text1"/>
        </w:rPr>
        <w:t xml:space="preserve"> JK: </w:t>
      </w:r>
      <w:r w:rsidR="000B470E" w:rsidRPr="00BD3F27">
        <w:rPr>
          <w:b/>
          <w:bCs/>
          <w:color w:val="000000" w:themeColor="text1"/>
        </w:rPr>
        <w:t xml:space="preserve">Hepatic </w:t>
      </w:r>
      <w:proofErr w:type="spellStart"/>
      <w:r w:rsidR="000B470E" w:rsidRPr="00BD3F27">
        <w:rPr>
          <w:b/>
          <w:bCs/>
          <w:color w:val="000000" w:themeColor="text1"/>
        </w:rPr>
        <w:t>transcriptomic</w:t>
      </w:r>
      <w:proofErr w:type="spellEnd"/>
      <w:r w:rsidR="000B470E" w:rsidRPr="00BD3F27">
        <w:rPr>
          <w:b/>
          <w:bCs/>
          <w:color w:val="000000" w:themeColor="text1"/>
        </w:rPr>
        <w:t xml:space="preserve"> profiles of European flounder (</w:t>
      </w:r>
      <w:proofErr w:type="spellStart"/>
      <w:r w:rsidR="00465FF9" w:rsidRPr="00BD3F27">
        <w:rPr>
          <w:b/>
          <w:bCs/>
          <w:i/>
          <w:color w:val="000000" w:themeColor="text1"/>
        </w:rPr>
        <w:t>Platichthys</w:t>
      </w:r>
      <w:proofErr w:type="spellEnd"/>
      <w:r w:rsidR="00465FF9" w:rsidRPr="00BD3F27">
        <w:rPr>
          <w:b/>
          <w:bCs/>
          <w:i/>
          <w:color w:val="000000" w:themeColor="text1"/>
        </w:rPr>
        <w:t xml:space="preserve"> </w:t>
      </w:r>
      <w:proofErr w:type="spellStart"/>
      <w:r w:rsidR="00465FF9" w:rsidRPr="00BD3F27">
        <w:rPr>
          <w:b/>
          <w:bCs/>
          <w:i/>
          <w:color w:val="000000" w:themeColor="text1"/>
        </w:rPr>
        <w:t>flesus</w:t>
      </w:r>
      <w:proofErr w:type="spellEnd"/>
      <w:r w:rsidR="000B470E" w:rsidRPr="00BD3F27">
        <w:rPr>
          <w:b/>
          <w:bCs/>
          <w:color w:val="000000" w:themeColor="text1"/>
        </w:rPr>
        <w:t>) from field sites and computational approaches to predict site from stress gene responses following exposure to model toxicants</w:t>
      </w:r>
      <w:r w:rsidR="000B470E" w:rsidRPr="00BD3F27">
        <w:rPr>
          <w:color w:val="000000" w:themeColor="text1"/>
        </w:rPr>
        <w:t xml:space="preserve">. </w:t>
      </w:r>
      <w:proofErr w:type="spellStart"/>
      <w:r w:rsidR="000B470E" w:rsidRPr="00BD3F27">
        <w:rPr>
          <w:i/>
          <w:iCs/>
          <w:color w:val="000000" w:themeColor="text1"/>
        </w:rPr>
        <w:t>Aquat</w:t>
      </w:r>
      <w:proofErr w:type="spellEnd"/>
      <w:r w:rsidR="000B470E" w:rsidRPr="00BD3F27">
        <w:rPr>
          <w:i/>
          <w:iCs/>
          <w:color w:val="000000" w:themeColor="text1"/>
        </w:rPr>
        <w:t xml:space="preserve"> </w:t>
      </w:r>
      <w:proofErr w:type="spellStart"/>
      <w:r w:rsidR="000B470E" w:rsidRPr="00BD3F27">
        <w:rPr>
          <w:i/>
          <w:iCs/>
          <w:color w:val="000000" w:themeColor="text1"/>
        </w:rPr>
        <w:t>Toxicol</w:t>
      </w:r>
      <w:proofErr w:type="spellEnd"/>
      <w:r w:rsidR="000B470E" w:rsidRPr="00BD3F27">
        <w:rPr>
          <w:i/>
          <w:iCs/>
          <w:color w:val="000000" w:themeColor="text1"/>
        </w:rPr>
        <w:t xml:space="preserve"> </w:t>
      </w:r>
      <w:r w:rsidR="000B470E" w:rsidRPr="00BD3F27">
        <w:rPr>
          <w:color w:val="000000" w:themeColor="text1"/>
        </w:rPr>
        <w:t xml:space="preserve">2008, </w:t>
      </w:r>
      <w:r w:rsidR="000B470E" w:rsidRPr="00BD3F27">
        <w:rPr>
          <w:b/>
          <w:bCs/>
          <w:color w:val="000000" w:themeColor="text1"/>
        </w:rPr>
        <w:t>90</w:t>
      </w:r>
      <w:r w:rsidR="000B470E" w:rsidRPr="00BD3F27">
        <w:rPr>
          <w:color w:val="000000" w:themeColor="text1"/>
        </w:rPr>
        <w:t>(2):92-101.</w:t>
      </w:r>
    </w:p>
    <w:p w:rsidR="000B470E" w:rsidRPr="00BD3F27" w:rsidRDefault="009C3D5B" w:rsidP="000B470E">
      <w:pPr>
        <w:spacing w:line="480" w:lineRule="auto"/>
        <w:ind w:left="720" w:hanging="720"/>
        <w:jc w:val="both"/>
        <w:rPr>
          <w:color w:val="000000" w:themeColor="text1"/>
        </w:rPr>
      </w:pPr>
      <w:r w:rsidRPr="00BD3F27">
        <w:rPr>
          <w:color w:val="000000" w:themeColor="text1"/>
        </w:rPr>
        <w:t>1</w:t>
      </w:r>
      <w:r w:rsidR="00832C9D" w:rsidRPr="00BD3F27">
        <w:rPr>
          <w:color w:val="000000" w:themeColor="text1"/>
        </w:rPr>
        <w:t>2</w:t>
      </w:r>
      <w:r w:rsidR="000B470E" w:rsidRPr="00BD3F27">
        <w:rPr>
          <w:color w:val="000000" w:themeColor="text1"/>
        </w:rPr>
        <w:t>.</w:t>
      </w:r>
      <w:r w:rsidR="000B470E" w:rsidRPr="00BD3F27">
        <w:rPr>
          <w:color w:val="000000" w:themeColor="text1"/>
        </w:rPr>
        <w:tab/>
      </w:r>
      <w:proofErr w:type="spellStart"/>
      <w:r w:rsidR="000B470E" w:rsidRPr="00BD3F27">
        <w:rPr>
          <w:color w:val="000000" w:themeColor="text1"/>
        </w:rPr>
        <w:t>Stentiford</w:t>
      </w:r>
      <w:proofErr w:type="spellEnd"/>
      <w:r w:rsidR="000B470E" w:rsidRPr="00BD3F27">
        <w:rPr>
          <w:color w:val="000000" w:themeColor="text1"/>
        </w:rPr>
        <w:t xml:space="preserve"> G, </w:t>
      </w:r>
      <w:proofErr w:type="spellStart"/>
      <w:r w:rsidR="000B470E" w:rsidRPr="00BD3F27">
        <w:rPr>
          <w:color w:val="000000" w:themeColor="text1"/>
        </w:rPr>
        <w:t>Bignell</w:t>
      </w:r>
      <w:proofErr w:type="spellEnd"/>
      <w:r w:rsidR="000B470E" w:rsidRPr="00BD3F27">
        <w:rPr>
          <w:color w:val="000000" w:themeColor="text1"/>
        </w:rPr>
        <w:t xml:space="preserve">, JP, Lyons, BP, </w:t>
      </w:r>
      <w:proofErr w:type="spellStart"/>
      <w:r w:rsidR="000B470E" w:rsidRPr="00BD3F27">
        <w:rPr>
          <w:color w:val="000000" w:themeColor="text1"/>
        </w:rPr>
        <w:t>Feist</w:t>
      </w:r>
      <w:proofErr w:type="spellEnd"/>
      <w:r w:rsidR="000B470E" w:rsidRPr="00BD3F27">
        <w:rPr>
          <w:color w:val="000000" w:themeColor="text1"/>
        </w:rPr>
        <w:t xml:space="preserve">, </w:t>
      </w:r>
      <w:proofErr w:type="gramStart"/>
      <w:r w:rsidR="000B470E" w:rsidRPr="00BD3F27">
        <w:rPr>
          <w:color w:val="000000" w:themeColor="text1"/>
        </w:rPr>
        <w:t>SW</w:t>
      </w:r>
      <w:proofErr w:type="gramEnd"/>
      <w:r w:rsidR="000B470E" w:rsidRPr="00BD3F27">
        <w:rPr>
          <w:color w:val="000000" w:themeColor="text1"/>
        </w:rPr>
        <w:t xml:space="preserve">: </w:t>
      </w:r>
      <w:r w:rsidR="000B470E" w:rsidRPr="00BD3F27">
        <w:rPr>
          <w:b/>
          <w:bCs/>
          <w:color w:val="000000" w:themeColor="text1"/>
        </w:rPr>
        <w:t>Site-specific disease profiles in fish and their use in environmental monitoring</w:t>
      </w:r>
      <w:r w:rsidR="000B470E" w:rsidRPr="00BD3F27">
        <w:rPr>
          <w:color w:val="000000" w:themeColor="text1"/>
        </w:rPr>
        <w:t xml:space="preserve">. </w:t>
      </w:r>
      <w:r w:rsidR="000B470E" w:rsidRPr="00BD3F27">
        <w:rPr>
          <w:i/>
          <w:iCs/>
          <w:color w:val="000000" w:themeColor="text1"/>
        </w:rPr>
        <w:t xml:space="preserve">Marine Ecology Progress Series </w:t>
      </w:r>
      <w:r w:rsidR="000B470E" w:rsidRPr="00BD3F27">
        <w:rPr>
          <w:color w:val="000000" w:themeColor="text1"/>
        </w:rPr>
        <w:t xml:space="preserve">2009, </w:t>
      </w:r>
      <w:r w:rsidR="000B470E" w:rsidRPr="00BD3F27">
        <w:rPr>
          <w:b/>
          <w:bCs/>
          <w:color w:val="000000" w:themeColor="text1"/>
        </w:rPr>
        <w:t>381</w:t>
      </w:r>
      <w:r w:rsidR="000B470E" w:rsidRPr="00BD3F27">
        <w:rPr>
          <w:color w:val="000000" w:themeColor="text1"/>
        </w:rPr>
        <w:t>:1-5.</w:t>
      </w:r>
    </w:p>
    <w:p w:rsidR="002D4933" w:rsidRPr="00BD3F27" w:rsidRDefault="002D4933" w:rsidP="000B470E">
      <w:pPr>
        <w:spacing w:line="480" w:lineRule="auto"/>
        <w:ind w:left="720" w:hanging="720"/>
        <w:jc w:val="both"/>
        <w:rPr>
          <w:rFonts w:eastAsiaTheme="minorHAnsi"/>
          <w:color w:val="000000" w:themeColor="text1"/>
          <w:lang w:val="en-US"/>
        </w:rPr>
      </w:pPr>
      <w:r w:rsidRPr="00BD3F27">
        <w:rPr>
          <w:color w:val="000000" w:themeColor="text1"/>
        </w:rPr>
        <w:t>13.</w:t>
      </w:r>
      <w:r w:rsidRPr="00BD3F27">
        <w:rPr>
          <w:color w:val="000000" w:themeColor="text1"/>
        </w:rPr>
        <w:tab/>
      </w:r>
      <w:proofErr w:type="spellStart"/>
      <w:r w:rsidRPr="00BD3F27">
        <w:rPr>
          <w:color w:val="000000" w:themeColor="text1"/>
        </w:rPr>
        <w:t>Smout</w:t>
      </w:r>
      <w:proofErr w:type="spellEnd"/>
      <w:r w:rsidRPr="00BD3F27">
        <w:rPr>
          <w:color w:val="000000" w:themeColor="text1"/>
        </w:rPr>
        <w:t xml:space="preserve"> MJ, </w:t>
      </w:r>
      <w:proofErr w:type="spellStart"/>
      <w:r w:rsidRPr="00BD3F27">
        <w:rPr>
          <w:color w:val="000000" w:themeColor="text1"/>
        </w:rPr>
        <w:t>Sripa</w:t>
      </w:r>
      <w:proofErr w:type="spellEnd"/>
      <w:r w:rsidRPr="00BD3F27">
        <w:rPr>
          <w:color w:val="000000" w:themeColor="text1"/>
        </w:rPr>
        <w:t xml:space="preserve"> B, </w:t>
      </w:r>
      <w:proofErr w:type="spellStart"/>
      <w:r w:rsidRPr="00BD3F27">
        <w:rPr>
          <w:color w:val="000000" w:themeColor="text1"/>
        </w:rPr>
        <w:t>Laha</w:t>
      </w:r>
      <w:proofErr w:type="spellEnd"/>
      <w:r w:rsidRPr="00BD3F27">
        <w:rPr>
          <w:color w:val="000000" w:themeColor="text1"/>
        </w:rPr>
        <w:t xml:space="preserve"> T, </w:t>
      </w:r>
      <w:proofErr w:type="spellStart"/>
      <w:r w:rsidRPr="00BD3F27">
        <w:rPr>
          <w:color w:val="000000" w:themeColor="text1"/>
        </w:rPr>
        <w:t>Mulvenna</w:t>
      </w:r>
      <w:proofErr w:type="spellEnd"/>
      <w:r w:rsidRPr="00BD3F27">
        <w:rPr>
          <w:color w:val="000000" w:themeColor="text1"/>
        </w:rPr>
        <w:t xml:space="preserve"> J, Gasser RB, Young ND, </w:t>
      </w:r>
      <w:proofErr w:type="spellStart"/>
      <w:r w:rsidRPr="00BD3F27">
        <w:rPr>
          <w:color w:val="000000" w:themeColor="text1"/>
        </w:rPr>
        <w:t>Bethony</w:t>
      </w:r>
      <w:proofErr w:type="spellEnd"/>
      <w:r w:rsidRPr="00BD3F27">
        <w:rPr>
          <w:color w:val="000000" w:themeColor="text1"/>
        </w:rPr>
        <w:t xml:space="preserve"> PJ, </w:t>
      </w:r>
      <w:proofErr w:type="spellStart"/>
      <w:r w:rsidRPr="00BD3F27">
        <w:rPr>
          <w:color w:val="000000" w:themeColor="text1"/>
        </w:rPr>
        <w:t>Loukas</w:t>
      </w:r>
      <w:proofErr w:type="spellEnd"/>
      <w:r w:rsidRPr="00BD3F27">
        <w:rPr>
          <w:color w:val="000000" w:themeColor="text1"/>
        </w:rPr>
        <w:t xml:space="preserve"> A: </w:t>
      </w:r>
      <w:r w:rsidR="00465FF9" w:rsidRPr="00BD3F27">
        <w:rPr>
          <w:b/>
          <w:color w:val="000000" w:themeColor="text1"/>
        </w:rPr>
        <w:t xml:space="preserve">Infection with the carcinogenic human liver fluke </w:t>
      </w:r>
      <w:proofErr w:type="spellStart"/>
      <w:r w:rsidR="00465FF9" w:rsidRPr="00BD3F27">
        <w:rPr>
          <w:b/>
          <w:i/>
          <w:color w:val="000000" w:themeColor="text1"/>
        </w:rPr>
        <w:t>Opisthorchis</w:t>
      </w:r>
      <w:proofErr w:type="spellEnd"/>
      <w:r w:rsidR="00465FF9" w:rsidRPr="00BD3F27">
        <w:rPr>
          <w:b/>
          <w:i/>
          <w:color w:val="000000" w:themeColor="text1"/>
        </w:rPr>
        <w:t xml:space="preserve"> </w:t>
      </w:r>
      <w:proofErr w:type="spellStart"/>
      <w:r w:rsidR="00465FF9" w:rsidRPr="00BD3F27">
        <w:rPr>
          <w:b/>
          <w:i/>
          <w:color w:val="000000" w:themeColor="text1"/>
        </w:rPr>
        <w:t>viverrini</w:t>
      </w:r>
      <w:proofErr w:type="spellEnd"/>
      <w:r w:rsidRPr="00BD3F27">
        <w:rPr>
          <w:b/>
          <w:color w:val="000000" w:themeColor="text1"/>
        </w:rPr>
        <w:t xml:space="preserve">. </w:t>
      </w:r>
      <w:r w:rsidR="00465FF9" w:rsidRPr="00BD3F27">
        <w:rPr>
          <w:i/>
          <w:color w:val="000000" w:themeColor="text1"/>
        </w:rPr>
        <w:t xml:space="preserve">Mol </w:t>
      </w:r>
      <w:proofErr w:type="spellStart"/>
      <w:r w:rsidR="00465FF9" w:rsidRPr="00BD3F27">
        <w:rPr>
          <w:i/>
          <w:color w:val="000000" w:themeColor="text1"/>
        </w:rPr>
        <w:t>Biosyst</w:t>
      </w:r>
      <w:proofErr w:type="spellEnd"/>
      <w:r w:rsidR="00465FF9" w:rsidRPr="00BD3F27">
        <w:rPr>
          <w:rFonts w:eastAsiaTheme="minorHAnsi"/>
          <w:color w:val="000000" w:themeColor="text1"/>
          <w:lang w:val="en-US"/>
        </w:rPr>
        <w:t xml:space="preserve"> </w:t>
      </w:r>
      <w:r w:rsidRPr="00BD3F27">
        <w:rPr>
          <w:rFonts w:eastAsiaTheme="minorHAnsi"/>
          <w:color w:val="000000" w:themeColor="text1"/>
          <w:lang w:val="en-US"/>
        </w:rPr>
        <w:t xml:space="preserve">2011, </w:t>
      </w:r>
      <w:r w:rsidR="00465FF9" w:rsidRPr="00BD3F27">
        <w:rPr>
          <w:rFonts w:eastAsiaTheme="minorHAnsi"/>
          <w:color w:val="000000" w:themeColor="text1"/>
          <w:lang w:val="en-US"/>
        </w:rPr>
        <w:t>DOI: 10.1039/c0mb00295j</w:t>
      </w:r>
    </w:p>
    <w:p w:rsidR="002D4933" w:rsidRPr="00BD3F27" w:rsidRDefault="002D4933" w:rsidP="000B470E">
      <w:pPr>
        <w:spacing w:line="480" w:lineRule="auto"/>
        <w:ind w:left="720" w:hanging="720"/>
        <w:jc w:val="both"/>
        <w:rPr>
          <w:color w:val="000000" w:themeColor="text1"/>
        </w:rPr>
      </w:pPr>
      <w:r w:rsidRPr="00BD3F27">
        <w:rPr>
          <w:rFonts w:eastAsiaTheme="minorHAnsi"/>
          <w:color w:val="000000" w:themeColor="text1"/>
          <w:lang w:val="en-US"/>
        </w:rPr>
        <w:t>14.</w:t>
      </w:r>
      <w:r w:rsidRPr="00BD3F27">
        <w:rPr>
          <w:rFonts w:eastAsiaTheme="minorHAnsi"/>
          <w:color w:val="000000" w:themeColor="text1"/>
          <w:lang w:val="en-US"/>
        </w:rPr>
        <w:tab/>
        <w:t xml:space="preserve">Garcia LO, Becker AG, </w:t>
      </w:r>
      <w:proofErr w:type="spellStart"/>
      <w:r w:rsidRPr="00BD3F27">
        <w:rPr>
          <w:rFonts w:eastAsiaTheme="minorHAnsi"/>
          <w:color w:val="000000" w:themeColor="text1"/>
          <w:lang w:val="en-US"/>
        </w:rPr>
        <w:t>Bertuzzi</w:t>
      </w:r>
      <w:proofErr w:type="spellEnd"/>
      <w:r w:rsidRPr="00BD3F27">
        <w:rPr>
          <w:rFonts w:eastAsiaTheme="minorHAnsi"/>
          <w:color w:val="000000" w:themeColor="text1"/>
          <w:lang w:val="en-US"/>
        </w:rPr>
        <w:t xml:space="preserve"> T, Cunha MA, </w:t>
      </w:r>
      <w:proofErr w:type="spellStart"/>
      <w:r w:rsidRPr="00BD3F27">
        <w:rPr>
          <w:rFonts w:eastAsiaTheme="minorHAnsi"/>
          <w:color w:val="000000" w:themeColor="text1"/>
          <w:lang w:val="en-US"/>
        </w:rPr>
        <w:t>Kochhann</w:t>
      </w:r>
      <w:proofErr w:type="spellEnd"/>
      <w:r w:rsidRPr="00BD3F27">
        <w:rPr>
          <w:rFonts w:eastAsiaTheme="minorHAnsi"/>
          <w:color w:val="000000" w:themeColor="text1"/>
          <w:lang w:val="en-US"/>
        </w:rPr>
        <w:t xml:space="preserve"> D, </w:t>
      </w:r>
      <w:proofErr w:type="spellStart"/>
      <w:r w:rsidRPr="00BD3F27">
        <w:rPr>
          <w:rFonts w:eastAsiaTheme="minorHAnsi"/>
          <w:color w:val="000000" w:themeColor="text1"/>
          <w:lang w:val="en-US"/>
        </w:rPr>
        <w:t>Finamor</w:t>
      </w:r>
      <w:proofErr w:type="spellEnd"/>
      <w:r w:rsidRPr="00BD3F27">
        <w:rPr>
          <w:rFonts w:eastAsiaTheme="minorHAnsi"/>
          <w:color w:val="000000" w:themeColor="text1"/>
          <w:lang w:val="en-US"/>
        </w:rPr>
        <w:t xml:space="preserve"> IA, </w:t>
      </w:r>
      <w:proofErr w:type="spellStart"/>
      <w:r w:rsidRPr="00BD3F27">
        <w:rPr>
          <w:rFonts w:eastAsiaTheme="minorHAnsi"/>
          <w:color w:val="000000" w:themeColor="text1"/>
          <w:lang w:val="en-US"/>
        </w:rPr>
        <w:t>Riffel</w:t>
      </w:r>
      <w:proofErr w:type="spellEnd"/>
      <w:r w:rsidRPr="00BD3F27">
        <w:rPr>
          <w:rFonts w:eastAsiaTheme="minorHAnsi"/>
          <w:color w:val="000000" w:themeColor="text1"/>
          <w:lang w:val="en-US"/>
        </w:rPr>
        <w:t xml:space="preserve"> APK, </w:t>
      </w:r>
      <w:proofErr w:type="spellStart"/>
      <w:r w:rsidRPr="00BD3F27">
        <w:rPr>
          <w:rFonts w:eastAsiaTheme="minorHAnsi"/>
          <w:color w:val="000000" w:themeColor="text1"/>
          <w:lang w:val="en-US"/>
        </w:rPr>
        <w:t>Llesuy</w:t>
      </w:r>
      <w:proofErr w:type="spellEnd"/>
      <w:r w:rsidRPr="00BD3F27">
        <w:rPr>
          <w:rFonts w:eastAsiaTheme="minorHAnsi"/>
          <w:color w:val="000000" w:themeColor="text1"/>
          <w:lang w:val="en-US"/>
        </w:rPr>
        <w:t xml:space="preserve"> S, </w:t>
      </w:r>
      <w:proofErr w:type="spellStart"/>
      <w:r w:rsidR="00940048" w:rsidRPr="00BD3F27">
        <w:rPr>
          <w:rFonts w:eastAsiaTheme="minorHAnsi"/>
          <w:color w:val="000000" w:themeColor="text1"/>
          <w:lang w:val="en-US"/>
        </w:rPr>
        <w:t>Pavanato</w:t>
      </w:r>
      <w:proofErr w:type="spellEnd"/>
      <w:r w:rsidR="00940048" w:rsidRPr="00BD3F27">
        <w:rPr>
          <w:rFonts w:eastAsiaTheme="minorHAnsi"/>
          <w:color w:val="000000" w:themeColor="text1"/>
          <w:lang w:val="en-US"/>
        </w:rPr>
        <w:t xml:space="preserve"> MA, </w:t>
      </w:r>
      <w:proofErr w:type="spellStart"/>
      <w:r w:rsidR="00940048" w:rsidRPr="00BD3F27">
        <w:rPr>
          <w:rFonts w:eastAsiaTheme="minorHAnsi"/>
          <w:color w:val="000000" w:themeColor="text1"/>
          <w:lang w:val="en-US"/>
        </w:rPr>
        <w:t>Baldisserotto</w:t>
      </w:r>
      <w:proofErr w:type="spellEnd"/>
      <w:r w:rsidR="00940048" w:rsidRPr="00BD3F27">
        <w:rPr>
          <w:rFonts w:eastAsiaTheme="minorHAnsi"/>
          <w:color w:val="000000" w:themeColor="text1"/>
          <w:lang w:val="en-US"/>
        </w:rPr>
        <w:t xml:space="preserve"> B: </w:t>
      </w:r>
      <w:r w:rsidR="00465FF9" w:rsidRPr="00BD3F27">
        <w:rPr>
          <w:rFonts w:eastAsiaTheme="minorHAnsi"/>
          <w:b/>
          <w:color w:val="000000" w:themeColor="text1"/>
          <w:lang w:val="en-US"/>
        </w:rPr>
        <w:t>Oxidative stress parameters in silver catfish (</w:t>
      </w:r>
      <w:proofErr w:type="spellStart"/>
      <w:r w:rsidR="00465FF9" w:rsidRPr="00BD3F27">
        <w:rPr>
          <w:rFonts w:eastAsiaTheme="minorHAnsi"/>
          <w:b/>
          <w:color w:val="000000" w:themeColor="text1"/>
          <w:lang w:val="en-US"/>
        </w:rPr>
        <w:t>Rhamdia</w:t>
      </w:r>
      <w:proofErr w:type="spellEnd"/>
      <w:r w:rsidR="00465FF9" w:rsidRPr="00BD3F27">
        <w:rPr>
          <w:rFonts w:eastAsiaTheme="minorHAnsi"/>
          <w:b/>
          <w:color w:val="000000" w:themeColor="text1"/>
          <w:lang w:val="en-US"/>
        </w:rPr>
        <w:t xml:space="preserve"> </w:t>
      </w:r>
      <w:proofErr w:type="spellStart"/>
      <w:r w:rsidR="00465FF9" w:rsidRPr="00BD3F27">
        <w:rPr>
          <w:rFonts w:eastAsiaTheme="minorHAnsi"/>
          <w:b/>
          <w:color w:val="000000" w:themeColor="text1"/>
          <w:lang w:val="en-US"/>
        </w:rPr>
        <w:t>quelen</w:t>
      </w:r>
      <w:proofErr w:type="spellEnd"/>
      <w:r w:rsidR="00465FF9" w:rsidRPr="00BD3F27">
        <w:rPr>
          <w:rFonts w:eastAsiaTheme="minorHAnsi"/>
          <w:b/>
          <w:color w:val="000000" w:themeColor="text1"/>
          <w:lang w:val="en-US"/>
        </w:rPr>
        <w:t xml:space="preserve">) juveniles </w:t>
      </w:r>
      <w:proofErr w:type="spellStart"/>
      <w:r w:rsidR="00465FF9" w:rsidRPr="00BD3F27">
        <w:rPr>
          <w:rFonts w:eastAsiaTheme="minorHAnsi"/>
          <w:b/>
          <w:color w:val="000000" w:themeColor="text1"/>
          <w:lang w:val="en-US"/>
        </w:rPr>
        <w:t>infectedwith</w:t>
      </w:r>
      <w:proofErr w:type="spellEnd"/>
      <w:r w:rsidR="00465FF9" w:rsidRPr="00BD3F27">
        <w:rPr>
          <w:rFonts w:eastAsiaTheme="minorHAnsi"/>
          <w:b/>
          <w:color w:val="000000" w:themeColor="text1"/>
          <w:lang w:val="en-US"/>
        </w:rPr>
        <w:t xml:space="preserve"> </w:t>
      </w:r>
      <w:proofErr w:type="spellStart"/>
      <w:r w:rsidR="00465FF9" w:rsidRPr="00BD3F27">
        <w:rPr>
          <w:rFonts w:eastAsiaTheme="minorHAnsi"/>
          <w:b/>
          <w:i/>
          <w:color w:val="000000" w:themeColor="text1"/>
          <w:lang w:val="en-US"/>
        </w:rPr>
        <w:t>Ichthyophthirius</w:t>
      </w:r>
      <w:proofErr w:type="spellEnd"/>
      <w:r w:rsidR="00465FF9" w:rsidRPr="00BD3F27">
        <w:rPr>
          <w:rFonts w:eastAsiaTheme="minorHAnsi"/>
          <w:b/>
          <w:i/>
          <w:color w:val="000000" w:themeColor="text1"/>
          <w:lang w:val="en-US"/>
        </w:rPr>
        <w:t xml:space="preserve"> </w:t>
      </w:r>
      <w:proofErr w:type="spellStart"/>
      <w:r w:rsidR="00465FF9" w:rsidRPr="00BD3F27">
        <w:rPr>
          <w:rFonts w:eastAsiaTheme="minorHAnsi"/>
          <w:b/>
          <w:i/>
          <w:color w:val="000000" w:themeColor="text1"/>
          <w:lang w:val="en-US"/>
        </w:rPr>
        <w:t>multifiliis</w:t>
      </w:r>
      <w:proofErr w:type="spellEnd"/>
      <w:r w:rsidR="00465FF9" w:rsidRPr="00BD3F27">
        <w:rPr>
          <w:rFonts w:eastAsiaTheme="minorHAnsi"/>
          <w:b/>
          <w:color w:val="000000" w:themeColor="text1"/>
          <w:lang w:val="en-US"/>
        </w:rPr>
        <w:t xml:space="preserve"> and maintained at different levels of water </w:t>
      </w:r>
      <w:proofErr w:type="spellStart"/>
      <w:r w:rsidR="00465FF9" w:rsidRPr="00BD3F27">
        <w:rPr>
          <w:rFonts w:eastAsiaTheme="minorHAnsi"/>
          <w:b/>
          <w:color w:val="000000" w:themeColor="text1"/>
          <w:lang w:val="en-US"/>
        </w:rPr>
        <w:t>pH.</w:t>
      </w:r>
      <w:proofErr w:type="spellEnd"/>
      <w:r w:rsidR="00465FF9" w:rsidRPr="00BD3F27">
        <w:rPr>
          <w:rFonts w:eastAsiaTheme="minorHAnsi"/>
          <w:b/>
          <w:color w:val="000000" w:themeColor="text1"/>
          <w:lang w:val="en-US"/>
        </w:rPr>
        <w:t xml:space="preserve"> </w:t>
      </w:r>
      <w:r w:rsidR="00465FF9" w:rsidRPr="00BD3F27">
        <w:rPr>
          <w:rFonts w:eastAsiaTheme="minorHAnsi"/>
          <w:i/>
          <w:color w:val="000000" w:themeColor="text1"/>
          <w:lang w:val="en-US"/>
        </w:rPr>
        <w:t>Veterinary Parasitology</w:t>
      </w:r>
      <w:r w:rsidR="00940048" w:rsidRPr="00BD3F27">
        <w:rPr>
          <w:rFonts w:eastAsiaTheme="minorHAnsi"/>
          <w:color w:val="000000" w:themeColor="text1"/>
          <w:lang w:val="en-US"/>
        </w:rPr>
        <w:t xml:space="preserve"> 2011, In Press </w:t>
      </w:r>
      <w:r w:rsidR="00465FF9" w:rsidRPr="00BD3F27">
        <w:rPr>
          <w:color w:val="000000" w:themeColor="text1"/>
        </w:rPr>
        <w:t>doi:10.1016/j.vetpar.2010.12.039</w:t>
      </w:r>
      <w:r w:rsidR="00940048" w:rsidRPr="00BD3F27">
        <w:rPr>
          <w:color w:val="000000" w:themeColor="text1"/>
        </w:rPr>
        <w:t xml:space="preserve">. </w:t>
      </w:r>
    </w:p>
    <w:p w:rsidR="00940048" w:rsidRPr="00BD3F27" w:rsidRDefault="00940048" w:rsidP="000B470E">
      <w:pPr>
        <w:spacing w:line="480" w:lineRule="auto"/>
        <w:ind w:left="720" w:hanging="720"/>
        <w:jc w:val="both"/>
        <w:rPr>
          <w:color w:val="000000" w:themeColor="text1"/>
          <w:lang w:val="en-US"/>
        </w:rPr>
      </w:pPr>
      <w:r w:rsidRPr="00BD3F27">
        <w:rPr>
          <w:color w:val="000000" w:themeColor="text1"/>
        </w:rPr>
        <w:lastRenderedPageBreak/>
        <w:t>15.</w:t>
      </w:r>
      <w:r w:rsidRPr="00BD3F27">
        <w:rPr>
          <w:color w:val="000000" w:themeColor="text1"/>
        </w:rPr>
        <w:tab/>
      </w:r>
      <w:proofErr w:type="spellStart"/>
      <w:r w:rsidRPr="00BD3F27">
        <w:rPr>
          <w:color w:val="000000" w:themeColor="text1"/>
        </w:rPr>
        <w:t>Stentiford</w:t>
      </w:r>
      <w:proofErr w:type="spellEnd"/>
      <w:r w:rsidRPr="00BD3F27">
        <w:rPr>
          <w:color w:val="000000" w:themeColor="text1"/>
        </w:rPr>
        <w:t xml:space="preserve"> GD, </w:t>
      </w:r>
      <w:proofErr w:type="spellStart"/>
      <w:r w:rsidRPr="00BD3F27">
        <w:rPr>
          <w:color w:val="000000" w:themeColor="text1"/>
        </w:rPr>
        <w:t>Bignell</w:t>
      </w:r>
      <w:proofErr w:type="spellEnd"/>
      <w:r w:rsidRPr="00BD3F27">
        <w:rPr>
          <w:color w:val="000000" w:themeColor="text1"/>
        </w:rPr>
        <w:t xml:space="preserve"> JP, Lyons BP, </w:t>
      </w:r>
      <w:proofErr w:type="spellStart"/>
      <w:r w:rsidRPr="00BD3F27">
        <w:rPr>
          <w:color w:val="000000" w:themeColor="text1"/>
        </w:rPr>
        <w:t>Thain</w:t>
      </w:r>
      <w:proofErr w:type="spellEnd"/>
      <w:r w:rsidRPr="00BD3F27">
        <w:rPr>
          <w:color w:val="000000" w:themeColor="text1"/>
        </w:rPr>
        <w:t xml:space="preserve"> JE, </w:t>
      </w:r>
      <w:proofErr w:type="spellStart"/>
      <w:proofErr w:type="gramStart"/>
      <w:r w:rsidRPr="00BD3F27">
        <w:rPr>
          <w:color w:val="000000" w:themeColor="text1"/>
        </w:rPr>
        <w:t>Feist</w:t>
      </w:r>
      <w:proofErr w:type="spellEnd"/>
      <w:proofErr w:type="gramEnd"/>
      <w:r w:rsidRPr="00BD3F27">
        <w:rPr>
          <w:color w:val="000000" w:themeColor="text1"/>
        </w:rPr>
        <w:t xml:space="preserve"> SW: </w:t>
      </w:r>
      <w:r w:rsidR="00465FF9" w:rsidRPr="00BD3F27">
        <w:rPr>
          <w:b/>
          <w:color w:val="000000" w:themeColor="text1"/>
        </w:rPr>
        <w:t xml:space="preserve">Effect of age on liver pathology and other diseases in flatfish: </w:t>
      </w:r>
      <w:proofErr w:type="spellStart"/>
      <w:r w:rsidR="00465FF9" w:rsidRPr="00BD3F27">
        <w:rPr>
          <w:b/>
          <w:color w:val="000000" w:themeColor="text1"/>
        </w:rPr>
        <w:t>inplications</w:t>
      </w:r>
      <w:proofErr w:type="spellEnd"/>
      <w:r w:rsidR="00465FF9" w:rsidRPr="00BD3F27">
        <w:rPr>
          <w:b/>
          <w:color w:val="000000" w:themeColor="text1"/>
        </w:rPr>
        <w:t xml:space="preserve"> for assessment of marine ecological health status</w:t>
      </w:r>
      <w:r w:rsidRPr="00BD3F27">
        <w:rPr>
          <w:color w:val="000000" w:themeColor="text1"/>
        </w:rPr>
        <w:t xml:space="preserve">. </w:t>
      </w:r>
      <w:r w:rsidRPr="00BD3F27">
        <w:rPr>
          <w:i/>
          <w:iCs/>
          <w:color w:val="000000" w:themeColor="text1"/>
        </w:rPr>
        <w:t xml:space="preserve">Marine Ecology Progress Series </w:t>
      </w:r>
      <w:r w:rsidRPr="00BD3F27">
        <w:rPr>
          <w:color w:val="000000" w:themeColor="text1"/>
        </w:rPr>
        <w:t xml:space="preserve">2010, </w:t>
      </w:r>
      <w:r w:rsidRPr="00BD3F27">
        <w:rPr>
          <w:b/>
          <w:bCs/>
          <w:color w:val="000000" w:themeColor="text1"/>
        </w:rPr>
        <w:t>411</w:t>
      </w:r>
      <w:r w:rsidRPr="00BD3F27">
        <w:rPr>
          <w:color w:val="000000" w:themeColor="text1"/>
        </w:rPr>
        <w:t>:215-230.</w:t>
      </w:r>
    </w:p>
    <w:p w:rsidR="000B470E" w:rsidRPr="00BD3F27" w:rsidRDefault="00940048" w:rsidP="000B470E">
      <w:pPr>
        <w:spacing w:line="480" w:lineRule="auto"/>
        <w:ind w:left="720" w:hanging="720"/>
        <w:jc w:val="both"/>
        <w:rPr>
          <w:color w:val="000000" w:themeColor="text1"/>
          <w:lang w:val="en-US"/>
        </w:rPr>
      </w:pPr>
      <w:r w:rsidRPr="00BD3F27">
        <w:rPr>
          <w:color w:val="000000" w:themeColor="text1"/>
        </w:rPr>
        <w:t>16</w:t>
      </w:r>
      <w:r w:rsidR="000B470E" w:rsidRPr="00BD3F27">
        <w:rPr>
          <w:color w:val="000000" w:themeColor="text1"/>
        </w:rPr>
        <w:t>.</w:t>
      </w:r>
      <w:r w:rsidR="000B470E" w:rsidRPr="00BD3F27">
        <w:rPr>
          <w:color w:val="000000" w:themeColor="text1"/>
        </w:rPr>
        <w:tab/>
        <w:t xml:space="preserve">Kirby MF, Smith AJ, </w:t>
      </w:r>
      <w:proofErr w:type="spellStart"/>
      <w:r w:rsidR="000B470E" w:rsidRPr="00BD3F27">
        <w:rPr>
          <w:color w:val="000000" w:themeColor="text1"/>
        </w:rPr>
        <w:t>Rooke</w:t>
      </w:r>
      <w:proofErr w:type="spellEnd"/>
      <w:r w:rsidR="000B470E" w:rsidRPr="00BD3F27">
        <w:rPr>
          <w:color w:val="000000" w:themeColor="text1"/>
        </w:rPr>
        <w:t xml:space="preserve"> J, </w:t>
      </w:r>
      <w:proofErr w:type="spellStart"/>
      <w:r w:rsidR="000B470E" w:rsidRPr="00BD3F27">
        <w:rPr>
          <w:color w:val="000000" w:themeColor="text1"/>
        </w:rPr>
        <w:t>Neall</w:t>
      </w:r>
      <w:proofErr w:type="spellEnd"/>
      <w:r w:rsidR="000B470E" w:rsidRPr="00BD3F27">
        <w:rPr>
          <w:color w:val="000000" w:themeColor="text1"/>
        </w:rPr>
        <w:t xml:space="preserve"> P, </w:t>
      </w:r>
      <w:proofErr w:type="gramStart"/>
      <w:r w:rsidR="000B470E" w:rsidRPr="00BD3F27">
        <w:rPr>
          <w:color w:val="000000" w:themeColor="text1"/>
        </w:rPr>
        <w:t>Scott</w:t>
      </w:r>
      <w:proofErr w:type="gramEnd"/>
      <w:r w:rsidR="000B470E" w:rsidRPr="00BD3F27">
        <w:rPr>
          <w:color w:val="000000" w:themeColor="text1"/>
        </w:rPr>
        <w:t xml:space="preserve"> AP, </w:t>
      </w:r>
      <w:proofErr w:type="spellStart"/>
      <w:r w:rsidR="000B470E" w:rsidRPr="00BD3F27">
        <w:rPr>
          <w:color w:val="000000" w:themeColor="text1"/>
        </w:rPr>
        <w:t>Katsiadaki</w:t>
      </w:r>
      <w:proofErr w:type="spellEnd"/>
      <w:r w:rsidR="000B470E" w:rsidRPr="00BD3F27">
        <w:rPr>
          <w:color w:val="000000" w:themeColor="text1"/>
        </w:rPr>
        <w:t xml:space="preserve"> I: </w:t>
      </w:r>
      <w:proofErr w:type="spellStart"/>
      <w:r w:rsidR="000B470E" w:rsidRPr="00BD3F27">
        <w:rPr>
          <w:b/>
          <w:bCs/>
          <w:color w:val="000000" w:themeColor="text1"/>
        </w:rPr>
        <w:t>Ethoxyresorufin</w:t>
      </w:r>
      <w:proofErr w:type="spellEnd"/>
      <w:r w:rsidR="000B470E" w:rsidRPr="00BD3F27">
        <w:rPr>
          <w:b/>
          <w:bCs/>
          <w:color w:val="000000" w:themeColor="text1"/>
        </w:rPr>
        <w:t>-O-</w:t>
      </w:r>
      <w:proofErr w:type="spellStart"/>
      <w:r w:rsidR="000B470E" w:rsidRPr="00BD3F27">
        <w:rPr>
          <w:b/>
          <w:bCs/>
          <w:color w:val="000000" w:themeColor="text1"/>
        </w:rPr>
        <w:t>deethylase</w:t>
      </w:r>
      <w:proofErr w:type="spellEnd"/>
      <w:r w:rsidR="000B470E" w:rsidRPr="00BD3F27">
        <w:rPr>
          <w:b/>
          <w:bCs/>
          <w:color w:val="000000" w:themeColor="text1"/>
        </w:rPr>
        <w:t xml:space="preserve"> (EROD) and </w:t>
      </w:r>
      <w:proofErr w:type="spellStart"/>
      <w:r w:rsidR="000B470E" w:rsidRPr="00BD3F27">
        <w:rPr>
          <w:b/>
          <w:bCs/>
          <w:color w:val="000000" w:themeColor="text1"/>
        </w:rPr>
        <w:t>vitellogenin</w:t>
      </w:r>
      <w:proofErr w:type="spellEnd"/>
      <w:r w:rsidR="000B470E" w:rsidRPr="00BD3F27">
        <w:rPr>
          <w:b/>
          <w:bCs/>
          <w:color w:val="000000" w:themeColor="text1"/>
        </w:rPr>
        <w:t xml:space="preserve"> (VTG) in flounder (</w:t>
      </w:r>
      <w:proofErr w:type="spellStart"/>
      <w:r w:rsidR="00465FF9" w:rsidRPr="00BD3F27">
        <w:rPr>
          <w:b/>
          <w:bCs/>
          <w:i/>
          <w:color w:val="000000" w:themeColor="text1"/>
        </w:rPr>
        <w:t>Platichthys</w:t>
      </w:r>
      <w:proofErr w:type="spellEnd"/>
      <w:r w:rsidR="00465FF9" w:rsidRPr="00BD3F27">
        <w:rPr>
          <w:b/>
          <w:bCs/>
          <w:i/>
          <w:color w:val="000000" w:themeColor="text1"/>
        </w:rPr>
        <w:t xml:space="preserve"> </w:t>
      </w:r>
      <w:proofErr w:type="spellStart"/>
      <w:r w:rsidR="00465FF9" w:rsidRPr="00BD3F27">
        <w:rPr>
          <w:b/>
          <w:bCs/>
          <w:i/>
          <w:color w:val="000000" w:themeColor="text1"/>
        </w:rPr>
        <w:t>flesus</w:t>
      </w:r>
      <w:proofErr w:type="spellEnd"/>
      <w:r w:rsidR="000B470E" w:rsidRPr="00BD3F27">
        <w:rPr>
          <w:b/>
          <w:bCs/>
          <w:color w:val="000000" w:themeColor="text1"/>
        </w:rPr>
        <w:t>): system interaction, crosstalk and implications for monitoring</w:t>
      </w:r>
      <w:r w:rsidR="000B470E" w:rsidRPr="00BD3F27">
        <w:rPr>
          <w:color w:val="000000" w:themeColor="text1"/>
        </w:rPr>
        <w:t xml:space="preserve">. </w:t>
      </w:r>
      <w:proofErr w:type="spellStart"/>
      <w:r w:rsidR="000B470E" w:rsidRPr="00BD3F27">
        <w:rPr>
          <w:i/>
          <w:iCs/>
          <w:color w:val="000000" w:themeColor="text1"/>
        </w:rPr>
        <w:t>Aquat</w:t>
      </w:r>
      <w:proofErr w:type="spellEnd"/>
      <w:r w:rsidR="000B470E" w:rsidRPr="00BD3F27">
        <w:rPr>
          <w:i/>
          <w:iCs/>
          <w:color w:val="000000" w:themeColor="text1"/>
        </w:rPr>
        <w:t xml:space="preserve"> </w:t>
      </w:r>
      <w:proofErr w:type="spellStart"/>
      <w:r w:rsidR="000B470E" w:rsidRPr="00BD3F27">
        <w:rPr>
          <w:i/>
          <w:iCs/>
          <w:color w:val="000000" w:themeColor="text1"/>
        </w:rPr>
        <w:t>Toxicol</w:t>
      </w:r>
      <w:proofErr w:type="spellEnd"/>
      <w:r w:rsidR="000B470E" w:rsidRPr="00BD3F27">
        <w:rPr>
          <w:i/>
          <w:iCs/>
          <w:color w:val="000000" w:themeColor="text1"/>
        </w:rPr>
        <w:t xml:space="preserve"> </w:t>
      </w:r>
      <w:r w:rsidR="000B470E" w:rsidRPr="00BD3F27">
        <w:rPr>
          <w:color w:val="000000" w:themeColor="text1"/>
        </w:rPr>
        <w:t xml:space="preserve">2007, </w:t>
      </w:r>
      <w:r w:rsidR="000B470E" w:rsidRPr="00BD3F27">
        <w:rPr>
          <w:b/>
          <w:bCs/>
          <w:color w:val="000000" w:themeColor="text1"/>
        </w:rPr>
        <w:t>81</w:t>
      </w:r>
      <w:r w:rsidR="000B470E" w:rsidRPr="00BD3F27">
        <w:rPr>
          <w:color w:val="000000" w:themeColor="text1"/>
        </w:rPr>
        <w:t>(3):233-244.</w:t>
      </w:r>
    </w:p>
    <w:p w:rsidR="000B470E" w:rsidRPr="00BD3F27" w:rsidRDefault="00940048" w:rsidP="000B470E">
      <w:pPr>
        <w:spacing w:line="480" w:lineRule="auto"/>
        <w:ind w:left="720" w:hanging="720"/>
        <w:jc w:val="both"/>
        <w:rPr>
          <w:color w:val="000000" w:themeColor="text1"/>
          <w:lang w:val="en-US"/>
        </w:rPr>
      </w:pPr>
      <w:r w:rsidRPr="00BD3F27">
        <w:rPr>
          <w:color w:val="000000" w:themeColor="text1"/>
        </w:rPr>
        <w:t>17</w:t>
      </w:r>
      <w:r w:rsidR="000B470E" w:rsidRPr="00BD3F27">
        <w:rPr>
          <w:color w:val="000000" w:themeColor="text1"/>
        </w:rPr>
        <w:t>.</w:t>
      </w:r>
      <w:r w:rsidR="000B470E" w:rsidRPr="00BD3F27">
        <w:rPr>
          <w:color w:val="000000" w:themeColor="text1"/>
        </w:rPr>
        <w:tab/>
        <w:t xml:space="preserve">Henry H, Thomas A, </w:t>
      </w:r>
      <w:proofErr w:type="spellStart"/>
      <w:r w:rsidR="000B470E" w:rsidRPr="00BD3F27">
        <w:rPr>
          <w:color w:val="000000" w:themeColor="text1"/>
        </w:rPr>
        <w:t>Shen</w:t>
      </w:r>
      <w:proofErr w:type="spellEnd"/>
      <w:r w:rsidR="000B470E" w:rsidRPr="00BD3F27">
        <w:rPr>
          <w:color w:val="000000" w:themeColor="text1"/>
        </w:rPr>
        <w:t xml:space="preserve"> Y, </w:t>
      </w:r>
      <w:proofErr w:type="gramStart"/>
      <w:r w:rsidR="000B470E" w:rsidRPr="00BD3F27">
        <w:rPr>
          <w:color w:val="000000" w:themeColor="text1"/>
        </w:rPr>
        <w:t>White</w:t>
      </w:r>
      <w:proofErr w:type="gramEnd"/>
      <w:r w:rsidR="000B470E" w:rsidRPr="00BD3F27">
        <w:rPr>
          <w:color w:val="000000" w:themeColor="text1"/>
        </w:rPr>
        <w:t xml:space="preserve"> E: </w:t>
      </w:r>
      <w:r w:rsidR="000B470E" w:rsidRPr="00BD3F27">
        <w:rPr>
          <w:b/>
          <w:bCs/>
          <w:color w:val="000000" w:themeColor="text1"/>
        </w:rPr>
        <w:t>Regulation of the mitochondrial checkpoint in p53-mediated apoptosis confers resistance to cell death</w:t>
      </w:r>
      <w:r w:rsidR="000B470E" w:rsidRPr="00BD3F27">
        <w:rPr>
          <w:color w:val="000000" w:themeColor="text1"/>
        </w:rPr>
        <w:t xml:space="preserve">. </w:t>
      </w:r>
      <w:r w:rsidR="000B470E" w:rsidRPr="00BD3F27">
        <w:rPr>
          <w:i/>
          <w:iCs/>
          <w:color w:val="000000" w:themeColor="text1"/>
        </w:rPr>
        <w:t xml:space="preserve">Oncogene </w:t>
      </w:r>
      <w:r w:rsidR="000B470E" w:rsidRPr="00BD3F27">
        <w:rPr>
          <w:color w:val="000000" w:themeColor="text1"/>
        </w:rPr>
        <w:t xml:space="preserve">2002, </w:t>
      </w:r>
      <w:r w:rsidR="000B470E" w:rsidRPr="00BD3F27">
        <w:rPr>
          <w:b/>
          <w:bCs/>
          <w:color w:val="000000" w:themeColor="text1"/>
        </w:rPr>
        <w:t>21</w:t>
      </w:r>
      <w:r w:rsidR="000B470E" w:rsidRPr="00BD3F27">
        <w:rPr>
          <w:color w:val="000000" w:themeColor="text1"/>
        </w:rPr>
        <w:t>(5):748-760.</w:t>
      </w:r>
    </w:p>
    <w:p w:rsidR="000B470E" w:rsidRPr="00BD3F27" w:rsidRDefault="00940048" w:rsidP="000B470E">
      <w:pPr>
        <w:spacing w:line="480" w:lineRule="auto"/>
        <w:ind w:left="720" w:hanging="720"/>
        <w:jc w:val="both"/>
        <w:rPr>
          <w:color w:val="000000" w:themeColor="text1"/>
          <w:lang w:val="en-US"/>
        </w:rPr>
      </w:pPr>
      <w:r w:rsidRPr="00BD3F27">
        <w:rPr>
          <w:color w:val="000000" w:themeColor="text1"/>
        </w:rPr>
        <w:t>18</w:t>
      </w:r>
      <w:r w:rsidR="000B470E" w:rsidRPr="00BD3F27">
        <w:rPr>
          <w:color w:val="000000" w:themeColor="text1"/>
        </w:rPr>
        <w:t>.</w:t>
      </w:r>
      <w:r w:rsidR="000B470E" w:rsidRPr="00BD3F27">
        <w:rPr>
          <w:color w:val="000000" w:themeColor="text1"/>
        </w:rPr>
        <w:tab/>
      </w:r>
      <w:proofErr w:type="spellStart"/>
      <w:r w:rsidR="000B470E" w:rsidRPr="00BD3F27">
        <w:rPr>
          <w:color w:val="000000" w:themeColor="text1"/>
        </w:rPr>
        <w:t>Matikainen</w:t>
      </w:r>
      <w:proofErr w:type="spellEnd"/>
      <w:r w:rsidR="000B470E" w:rsidRPr="00BD3F27">
        <w:rPr>
          <w:color w:val="000000" w:themeColor="text1"/>
        </w:rPr>
        <w:t xml:space="preserve"> T, Perez GI, </w:t>
      </w:r>
      <w:proofErr w:type="spellStart"/>
      <w:r w:rsidR="000B470E" w:rsidRPr="00BD3F27">
        <w:rPr>
          <w:color w:val="000000" w:themeColor="text1"/>
        </w:rPr>
        <w:t>Jurisicova</w:t>
      </w:r>
      <w:proofErr w:type="spellEnd"/>
      <w:r w:rsidR="000B470E" w:rsidRPr="00BD3F27">
        <w:rPr>
          <w:color w:val="000000" w:themeColor="text1"/>
        </w:rPr>
        <w:t xml:space="preserve"> A, </w:t>
      </w:r>
      <w:proofErr w:type="spellStart"/>
      <w:r w:rsidR="000B470E" w:rsidRPr="00BD3F27">
        <w:rPr>
          <w:color w:val="000000" w:themeColor="text1"/>
        </w:rPr>
        <w:t>Pru</w:t>
      </w:r>
      <w:proofErr w:type="spellEnd"/>
      <w:r w:rsidR="000B470E" w:rsidRPr="00BD3F27">
        <w:rPr>
          <w:color w:val="000000" w:themeColor="text1"/>
        </w:rPr>
        <w:t xml:space="preserve"> JK, </w:t>
      </w:r>
      <w:proofErr w:type="spellStart"/>
      <w:r w:rsidR="000B470E" w:rsidRPr="00BD3F27">
        <w:rPr>
          <w:color w:val="000000" w:themeColor="text1"/>
        </w:rPr>
        <w:t>Schlezinger</w:t>
      </w:r>
      <w:proofErr w:type="spellEnd"/>
      <w:r w:rsidR="000B470E" w:rsidRPr="00BD3F27">
        <w:rPr>
          <w:color w:val="000000" w:themeColor="text1"/>
        </w:rPr>
        <w:t xml:space="preserve"> JJ, </w:t>
      </w:r>
      <w:proofErr w:type="spellStart"/>
      <w:r w:rsidR="000B470E" w:rsidRPr="00BD3F27">
        <w:rPr>
          <w:color w:val="000000" w:themeColor="text1"/>
        </w:rPr>
        <w:t>Ryu</w:t>
      </w:r>
      <w:proofErr w:type="spellEnd"/>
      <w:r w:rsidR="000B470E" w:rsidRPr="00BD3F27">
        <w:rPr>
          <w:color w:val="000000" w:themeColor="text1"/>
        </w:rPr>
        <w:t xml:space="preserve"> HY, </w:t>
      </w:r>
      <w:proofErr w:type="spellStart"/>
      <w:r w:rsidR="000B470E" w:rsidRPr="00BD3F27">
        <w:rPr>
          <w:color w:val="000000" w:themeColor="text1"/>
        </w:rPr>
        <w:t>Laine</w:t>
      </w:r>
      <w:proofErr w:type="spellEnd"/>
      <w:r w:rsidR="000B470E" w:rsidRPr="00BD3F27">
        <w:rPr>
          <w:color w:val="000000" w:themeColor="text1"/>
        </w:rPr>
        <w:t xml:space="preserve"> J, Sakai T, </w:t>
      </w:r>
      <w:proofErr w:type="spellStart"/>
      <w:proofErr w:type="gramStart"/>
      <w:r w:rsidR="000B470E" w:rsidRPr="00BD3F27">
        <w:rPr>
          <w:color w:val="000000" w:themeColor="text1"/>
        </w:rPr>
        <w:t>Korsmeyer</w:t>
      </w:r>
      <w:proofErr w:type="spellEnd"/>
      <w:proofErr w:type="gramEnd"/>
      <w:r w:rsidR="000B470E" w:rsidRPr="00BD3F27">
        <w:rPr>
          <w:color w:val="000000" w:themeColor="text1"/>
        </w:rPr>
        <w:t xml:space="preserve"> SJ, Casper RF</w:t>
      </w:r>
      <w:r w:rsidR="000B470E" w:rsidRPr="00BD3F27">
        <w:rPr>
          <w:i/>
          <w:iCs/>
          <w:color w:val="000000" w:themeColor="text1"/>
        </w:rPr>
        <w:t xml:space="preserve"> et al</w:t>
      </w:r>
      <w:r w:rsidR="000B470E" w:rsidRPr="00BD3F27">
        <w:rPr>
          <w:color w:val="000000" w:themeColor="text1"/>
        </w:rPr>
        <w:t xml:space="preserve">: </w:t>
      </w:r>
      <w:r w:rsidR="000B470E" w:rsidRPr="00BD3F27">
        <w:rPr>
          <w:b/>
          <w:bCs/>
          <w:color w:val="000000" w:themeColor="text1"/>
        </w:rPr>
        <w:t xml:space="preserve">Aromatic hydrocarbon receptor-driven </w:t>
      </w:r>
      <w:proofErr w:type="spellStart"/>
      <w:r w:rsidR="000B470E" w:rsidRPr="00BD3F27">
        <w:rPr>
          <w:b/>
          <w:bCs/>
          <w:color w:val="000000" w:themeColor="text1"/>
        </w:rPr>
        <w:t>Bax</w:t>
      </w:r>
      <w:proofErr w:type="spellEnd"/>
      <w:r w:rsidR="000B470E" w:rsidRPr="00BD3F27">
        <w:rPr>
          <w:b/>
          <w:bCs/>
          <w:color w:val="000000" w:themeColor="text1"/>
        </w:rPr>
        <w:t xml:space="preserve"> gene expression is required for premature ovarian failure caused by </w:t>
      </w:r>
      <w:proofErr w:type="spellStart"/>
      <w:r w:rsidR="000B470E" w:rsidRPr="00BD3F27">
        <w:rPr>
          <w:b/>
          <w:bCs/>
          <w:color w:val="000000" w:themeColor="text1"/>
        </w:rPr>
        <w:t>biohazardous</w:t>
      </w:r>
      <w:proofErr w:type="spellEnd"/>
      <w:r w:rsidR="000B470E" w:rsidRPr="00BD3F27">
        <w:rPr>
          <w:b/>
          <w:bCs/>
          <w:color w:val="000000" w:themeColor="text1"/>
        </w:rPr>
        <w:t xml:space="preserve"> environmental chemicals</w:t>
      </w:r>
      <w:r w:rsidR="000B470E" w:rsidRPr="00BD3F27">
        <w:rPr>
          <w:color w:val="000000" w:themeColor="text1"/>
        </w:rPr>
        <w:t xml:space="preserve">. </w:t>
      </w:r>
      <w:r w:rsidR="000B470E" w:rsidRPr="00BD3F27">
        <w:rPr>
          <w:i/>
          <w:iCs/>
          <w:color w:val="000000" w:themeColor="text1"/>
        </w:rPr>
        <w:t xml:space="preserve">Nat Genet </w:t>
      </w:r>
      <w:r w:rsidR="000B470E" w:rsidRPr="00BD3F27">
        <w:rPr>
          <w:color w:val="000000" w:themeColor="text1"/>
        </w:rPr>
        <w:t xml:space="preserve">2001, </w:t>
      </w:r>
      <w:r w:rsidR="000B470E" w:rsidRPr="00BD3F27">
        <w:rPr>
          <w:b/>
          <w:bCs/>
          <w:color w:val="000000" w:themeColor="text1"/>
        </w:rPr>
        <w:t>28</w:t>
      </w:r>
      <w:r w:rsidR="000B470E" w:rsidRPr="00BD3F27">
        <w:rPr>
          <w:color w:val="000000" w:themeColor="text1"/>
        </w:rPr>
        <w:t>(4):355-360.</w:t>
      </w:r>
    </w:p>
    <w:p w:rsidR="000B470E" w:rsidRPr="00BD3F27" w:rsidRDefault="00940048" w:rsidP="000B470E">
      <w:pPr>
        <w:spacing w:line="480" w:lineRule="auto"/>
        <w:ind w:left="720" w:hanging="720"/>
        <w:jc w:val="both"/>
        <w:rPr>
          <w:color w:val="000000" w:themeColor="text1"/>
        </w:rPr>
      </w:pPr>
      <w:r w:rsidRPr="00BD3F27">
        <w:rPr>
          <w:color w:val="000000" w:themeColor="text1"/>
        </w:rPr>
        <w:t>19</w:t>
      </w:r>
      <w:r w:rsidR="000B470E" w:rsidRPr="00BD3F27">
        <w:rPr>
          <w:color w:val="000000" w:themeColor="text1"/>
        </w:rPr>
        <w:t>.</w:t>
      </w:r>
      <w:r w:rsidR="000B470E" w:rsidRPr="00BD3F27">
        <w:rPr>
          <w:color w:val="000000" w:themeColor="text1"/>
        </w:rPr>
        <w:tab/>
      </w:r>
      <w:proofErr w:type="spellStart"/>
      <w:r w:rsidR="000B470E" w:rsidRPr="00BD3F27">
        <w:rPr>
          <w:color w:val="000000" w:themeColor="text1"/>
        </w:rPr>
        <w:t>Verhagen</w:t>
      </w:r>
      <w:proofErr w:type="spellEnd"/>
      <w:r w:rsidR="000B470E" w:rsidRPr="00BD3F27">
        <w:rPr>
          <w:color w:val="000000" w:themeColor="text1"/>
        </w:rPr>
        <w:t xml:space="preserve"> AM, Vaux DL: </w:t>
      </w:r>
      <w:r w:rsidR="000B470E" w:rsidRPr="00BD3F27">
        <w:rPr>
          <w:b/>
          <w:bCs/>
          <w:color w:val="000000" w:themeColor="text1"/>
        </w:rPr>
        <w:t>Cell death regulation by the mammalian IAP antagonist Diablo/</w:t>
      </w:r>
      <w:proofErr w:type="spellStart"/>
      <w:r w:rsidR="000B470E" w:rsidRPr="00BD3F27">
        <w:rPr>
          <w:b/>
          <w:bCs/>
          <w:color w:val="000000" w:themeColor="text1"/>
        </w:rPr>
        <w:t>Smac</w:t>
      </w:r>
      <w:proofErr w:type="spellEnd"/>
      <w:r w:rsidR="000B470E" w:rsidRPr="00BD3F27">
        <w:rPr>
          <w:color w:val="000000" w:themeColor="text1"/>
        </w:rPr>
        <w:t xml:space="preserve">. </w:t>
      </w:r>
      <w:r w:rsidR="000B470E" w:rsidRPr="00BD3F27">
        <w:rPr>
          <w:i/>
          <w:iCs/>
          <w:color w:val="000000" w:themeColor="text1"/>
        </w:rPr>
        <w:t xml:space="preserve">Apoptosis </w:t>
      </w:r>
      <w:r w:rsidR="000B470E" w:rsidRPr="00BD3F27">
        <w:rPr>
          <w:color w:val="000000" w:themeColor="text1"/>
        </w:rPr>
        <w:t xml:space="preserve">2002, </w:t>
      </w:r>
      <w:r w:rsidR="000B470E" w:rsidRPr="00BD3F27">
        <w:rPr>
          <w:b/>
          <w:bCs/>
          <w:color w:val="000000" w:themeColor="text1"/>
        </w:rPr>
        <w:t>7</w:t>
      </w:r>
      <w:r w:rsidR="000B470E" w:rsidRPr="00BD3F27">
        <w:rPr>
          <w:color w:val="000000" w:themeColor="text1"/>
        </w:rPr>
        <w:t>(2):163-166</w:t>
      </w:r>
    </w:p>
    <w:p w:rsidR="000B470E" w:rsidRPr="00BD3F27" w:rsidRDefault="00940048" w:rsidP="000B470E">
      <w:pPr>
        <w:spacing w:line="480" w:lineRule="auto"/>
        <w:ind w:left="720" w:hanging="720"/>
        <w:jc w:val="both"/>
        <w:rPr>
          <w:color w:val="000000" w:themeColor="text1"/>
          <w:lang w:val="en-US"/>
        </w:rPr>
      </w:pPr>
      <w:r w:rsidRPr="00BD3F27">
        <w:rPr>
          <w:color w:val="000000" w:themeColor="text1"/>
        </w:rPr>
        <w:t>20</w:t>
      </w:r>
      <w:r w:rsidR="000B470E" w:rsidRPr="00BD3F27">
        <w:rPr>
          <w:color w:val="000000" w:themeColor="text1"/>
        </w:rPr>
        <w:t>.</w:t>
      </w:r>
      <w:r w:rsidR="000B470E" w:rsidRPr="00BD3F27">
        <w:rPr>
          <w:color w:val="000000" w:themeColor="text1"/>
        </w:rPr>
        <w:tab/>
        <w:t xml:space="preserve">Munoz-Alonso MJ, Acosta JC, Richard C, Delgado MD, </w:t>
      </w:r>
      <w:proofErr w:type="spellStart"/>
      <w:proofErr w:type="gramStart"/>
      <w:r w:rsidR="000B470E" w:rsidRPr="00BD3F27">
        <w:rPr>
          <w:color w:val="000000" w:themeColor="text1"/>
        </w:rPr>
        <w:t>Sedivy</w:t>
      </w:r>
      <w:proofErr w:type="spellEnd"/>
      <w:proofErr w:type="gramEnd"/>
      <w:r w:rsidR="000B470E" w:rsidRPr="00BD3F27">
        <w:rPr>
          <w:color w:val="000000" w:themeColor="text1"/>
        </w:rPr>
        <w:t xml:space="preserve"> J, Leon J: </w:t>
      </w:r>
      <w:r w:rsidR="000B470E" w:rsidRPr="00BD3F27">
        <w:rPr>
          <w:b/>
          <w:bCs/>
          <w:color w:val="000000" w:themeColor="text1"/>
        </w:rPr>
        <w:t xml:space="preserve">p21Cip1 and p27Kip1 induce distinct cell cycle effects and differentiation programs in myeloid </w:t>
      </w:r>
      <w:proofErr w:type="spellStart"/>
      <w:r w:rsidR="000B470E" w:rsidRPr="00BD3F27">
        <w:rPr>
          <w:b/>
          <w:bCs/>
          <w:color w:val="000000" w:themeColor="text1"/>
        </w:rPr>
        <w:t>leukemia</w:t>
      </w:r>
      <w:proofErr w:type="spellEnd"/>
      <w:r w:rsidR="000B470E" w:rsidRPr="00BD3F27">
        <w:rPr>
          <w:b/>
          <w:bCs/>
          <w:color w:val="000000" w:themeColor="text1"/>
        </w:rPr>
        <w:t xml:space="preserve"> cells</w:t>
      </w:r>
      <w:r w:rsidR="000B470E" w:rsidRPr="00BD3F27">
        <w:rPr>
          <w:color w:val="000000" w:themeColor="text1"/>
        </w:rPr>
        <w:t xml:space="preserve">. </w:t>
      </w:r>
      <w:r w:rsidR="000B470E" w:rsidRPr="00BD3F27">
        <w:rPr>
          <w:i/>
          <w:iCs/>
          <w:color w:val="000000" w:themeColor="text1"/>
        </w:rPr>
        <w:t xml:space="preserve">J </w:t>
      </w:r>
      <w:proofErr w:type="spellStart"/>
      <w:r w:rsidR="000B470E" w:rsidRPr="00BD3F27">
        <w:rPr>
          <w:i/>
          <w:iCs/>
          <w:color w:val="000000" w:themeColor="text1"/>
        </w:rPr>
        <w:t>Biol</w:t>
      </w:r>
      <w:proofErr w:type="spellEnd"/>
      <w:r w:rsidR="000B470E" w:rsidRPr="00BD3F27">
        <w:rPr>
          <w:i/>
          <w:iCs/>
          <w:color w:val="000000" w:themeColor="text1"/>
        </w:rPr>
        <w:t xml:space="preserve"> </w:t>
      </w:r>
      <w:proofErr w:type="spellStart"/>
      <w:r w:rsidR="000B470E" w:rsidRPr="00BD3F27">
        <w:rPr>
          <w:i/>
          <w:iCs/>
          <w:color w:val="000000" w:themeColor="text1"/>
        </w:rPr>
        <w:t>Chem</w:t>
      </w:r>
      <w:proofErr w:type="spellEnd"/>
      <w:r w:rsidR="000B470E" w:rsidRPr="00BD3F27">
        <w:rPr>
          <w:i/>
          <w:iCs/>
          <w:color w:val="000000" w:themeColor="text1"/>
        </w:rPr>
        <w:t xml:space="preserve"> </w:t>
      </w:r>
      <w:r w:rsidR="000B470E" w:rsidRPr="00BD3F27">
        <w:rPr>
          <w:color w:val="000000" w:themeColor="text1"/>
        </w:rPr>
        <w:t xml:space="preserve">2005, </w:t>
      </w:r>
      <w:r w:rsidR="000B470E" w:rsidRPr="00BD3F27">
        <w:rPr>
          <w:b/>
          <w:bCs/>
          <w:color w:val="000000" w:themeColor="text1"/>
        </w:rPr>
        <w:t>280</w:t>
      </w:r>
      <w:r w:rsidR="000B470E" w:rsidRPr="00BD3F27">
        <w:rPr>
          <w:color w:val="000000" w:themeColor="text1"/>
        </w:rPr>
        <w:t>(18):18120-18129.</w:t>
      </w:r>
    </w:p>
    <w:p w:rsidR="000B470E" w:rsidRPr="00BD3F27" w:rsidRDefault="00940048" w:rsidP="000B470E">
      <w:pPr>
        <w:widowControl w:val="0"/>
        <w:autoSpaceDE w:val="0"/>
        <w:autoSpaceDN w:val="0"/>
        <w:adjustRightInd w:val="0"/>
        <w:spacing w:line="480" w:lineRule="auto"/>
        <w:ind w:left="720" w:hanging="720"/>
        <w:rPr>
          <w:b/>
          <w:bCs/>
          <w:color w:val="000000" w:themeColor="text1"/>
        </w:rPr>
      </w:pPr>
      <w:r w:rsidRPr="00BD3F27">
        <w:rPr>
          <w:color w:val="000000" w:themeColor="text1"/>
        </w:rPr>
        <w:t>21</w:t>
      </w:r>
      <w:r w:rsidR="000B470E" w:rsidRPr="00BD3F27">
        <w:rPr>
          <w:color w:val="000000" w:themeColor="text1"/>
        </w:rPr>
        <w:t>.</w:t>
      </w:r>
      <w:r w:rsidR="000B470E" w:rsidRPr="00BD3F27">
        <w:rPr>
          <w:color w:val="000000" w:themeColor="text1"/>
        </w:rPr>
        <w:tab/>
        <w:t xml:space="preserve">Marlowe JL, </w:t>
      </w:r>
      <w:proofErr w:type="spellStart"/>
      <w:r w:rsidR="000B470E" w:rsidRPr="00BD3F27">
        <w:rPr>
          <w:color w:val="000000" w:themeColor="text1"/>
        </w:rPr>
        <w:t>Puga</w:t>
      </w:r>
      <w:proofErr w:type="spellEnd"/>
      <w:r w:rsidR="000B470E" w:rsidRPr="00BD3F27">
        <w:rPr>
          <w:color w:val="000000" w:themeColor="text1"/>
        </w:rPr>
        <w:t xml:space="preserve"> A: </w:t>
      </w:r>
      <w:r w:rsidR="000B470E" w:rsidRPr="00BD3F27">
        <w:rPr>
          <w:b/>
          <w:bCs/>
          <w:color w:val="000000" w:themeColor="text1"/>
        </w:rPr>
        <w:t xml:space="preserve">Aryl hydrocarbon receptor, cell cycle regulation, toxicity, and </w:t>
      </w:r>
    </w:p>
    <w:p w:rsidR="000B470E" w:rsidRPr="00BD3F27" w:rsidRDefault="000B470E" w:rsidP="000B470E">
      <w:pPr>
        <w:widowControl w:val="0"/>
        <w:autoSpaceDE w:val="0"/>
        <w:autoSpaceDN w:val="0"/>
        <w:adjustRightInd w:val="0"/>
        <w:spacing w:line="480" w:lineRule="auto"/>
        <w:ind w:firstLine="720"/>
        <w:rPr>
          <w:color w:val="000000" w:themeColor="text1"/>
        </w:rPr>
      </w:pPr>
      <w:proofErr w:type="spellStart"/>
      <w:proofErr w:type="gramStart"/>
      <w:r w:rsidRPr="00BD3F27">
        <w:rPr>
          <w:b/>
          <w:bCs/>
          <w:color w:val="000000" w:themeColor="text1"/>
        </w:rPr>
        <w:t>tumorigenesis</w:t>
      </w:r>
      <w:proofErr w:type="spellEnd"/>
      <w:proofErr w:type="gramEnd"/>
      <w:r w:rsidRPr="00BD3F27">
        <w:rPr>
          <w:color w:val="000000" w:themeColor="text1"/>
        </w:rPr>
        <w:t xml:space="preserve">. </w:t>
      </w:r>
      <w:r w:rsidRPr="00BD3F27">
        <w:rPr>
          <w:i/>
          <w:iCs/>
          <w:color w:val="000000" w:themeColor="text1"/>
        </w:rPr>
        <w:t xml:space="preserve">J Cell </w:t>
      </w:r>
      <w:proofErr w:type="spellStart"/>
      <w:r w:rsidRPr="00BD3F27">
        <w:rPr>
          <w:i/>
          <w:iCs/>
          <w:color w:val="000000" w:themeColor="text1"/>
        </w:rPr>
        <w:t>Biochem</w:t>
      </w:r>
      <w:proofErr w:type="spellEnd"/>
      <w:r w:rsidRPr="00BD3F27">
        <w:rPr>
          <w:i/>
          <w:iCs/>
          <w:color w:val="000000" w:themeColor="text1"/>
        </w:rPr>
        <w:t xml:space="preserve"> </w:t>
      </w:r>
      <w:r w:rsidRPr="00BD3F27">
        <w:rPr>
          <w:color w:val="000000" w:themeColor="text1"/>
        </w:rPr>
        <w:t xml:space="preserve">2005, </w:t>
      </w:r>
      <w:r w:rsidRPr="00BD3F27">
        <w:rPr>
          <w:b/>
          <w:bCs/>
          <w:color w:val="000000" w:themeColor="text1"/>
        </w:rPr>
        <w:t>96</w:t>
      </w:r>
      <w:r w:rsidRPr="00BD3F27">
        <w:rPr>
          <w:color w:val="000000" w:themeColor="text1"/>
        </w:rPr>
        <w:t>(6):1174-1184.</w:t>
      </w:r>
    </w:p>
    <w:p w:rsidR="000B470E" w:rsidRPr="00BD3F27" w:rsidRDefault="00940048" w:rsidP="000B470E">
      <w:pPr>
        <w:spacing w:line="480" w:lineRule="auto"/>
        <w:ind w:left="720" w:hanging="720"/>
        <w:jc w:val="both"/>
        <w:rPr>
          <w:color w:val="000000" w:themeColor="text1"/>
          <w:lang w:val="en-US"/>
        </w:rPr>
      </w:pPr>
      <w:r w:rsidRPr="00BD3F27">
        <w:rPr>
          <w:color w:val="000000" w:themeColor="text1"/>
        </w:rPr>
        <w:lastRenderedPageBreak/>
        <w:t>22</w:t>
      </w:r>
      <w:r w:rsidR="000B470E" w:rsidRPr="00BD3F27">
        <w:rPr>
          <w:color w:val="000000" w:themeColor="text1"/>
        </w:rPr>
        <w:t>.</w:t>
      </w:r>
      <w:r w:rsidR="000B470E" w:rsidRPr="00BD3F27">
        <w:rPr>
          <w:color w:val="000000" w:themeColor="text1"/>
        </w:rPr>
        <w:tab/>
      </w:r>
      <w:proofErr w:type="spellStart"/>
      <w:r w:rsidR="000B470E" w:rsidRPr="00BD3F27">
        <w:rPr>
          <w:color w:val="000000" w:themeColor="text1"/>
        </w:rPr>
        <w:t>Viant</w:t>
      </w:r>
      <w:proofErr w:type="spellEnd"/>
      <w:r w:rsidR="000B470E" w:rsidRPr="00BD3F27">
        <w:rPr>
          <w:color w:val="000000" w:themeColor="text1"/>
        </w:rPr>
        <w:t xml:space="preserve"> MR, Bearden DW, Bundy JG, Burton IW, Collette TW, </w:t>
      </w:r>
      <w:proofErr w:type="spellStart"/>
      <w:r w:rsidR="000B470E" w:rsidRPr="00BD3F27">
        <w:rPr>
          <w:color w:val="000000" w:themeColor="text1"/>
        </w:rPr>
        <w:t>Ekman</w:t>
      </w:r>
      <w:proofErr w:type="spellEnd"/>
      <w:r w:rsidR="000B470E" w:rsidRPr="00BD3F27">
        <w:rPr>
          <w:color w:val="000000" w:themeColor="text1"/>
        </w:rPr>
        <w:t xml:space="preserve"> DR, </w:t>
      </w:r>
      <w:proofErr w:type="spellStart"/>
      <w:r w:rsidR="000B470E" w:rsidRPr="00BD3F27">
        <w:rPr>
          <w:color w:val="000000" w:themeColor="text1"/>
        </w:rPr>
        <w:t>Ezernieks</w:t>
      </w:r>
      <w:proofErr w:type="spellEnd"/>
      <w:r w:rsidR="000B470E" w:rsidRPr="00BD3F27">
        <w:rPr>
          <w:color w:val="000000" w:themeColor="text1"/>
        </w:rPr>
        <w:t xml:space="preserve"> V, </w:t>
      </w:r>
      <w:proofErr w:type="spellStart"/>
      <w:r w:rsidR="000B470E" w:rsidRPr="00BD3F27">
        <w:rPr>
          <w:color w:val="000000" w:themeColor="text1"/>
        </w:rPr>
        <w:t>Karakach</w:t>
      </w:r>
      <w:proofErr w:type="spellEnd"/>
      <w:r w:rsidR="000B470E" w:rsidRPr="00BD3F27">
        <w:rPr>
          <w:color w:val="000000" w:themeColor="text1"/>
        </w:rPr>
        <w:t xml:space="preserve"> TK, Lin CY, </w:t>
      </w:r>
      <w:proofErr w:type="spellStart"/>
      <w:r w:rsidR="000B470E" w:rsidRPr="00BD3F27">
        <w:rPr>
          <w:color w:val="000000" w:themeColor="text1"/>
        </w:rPr>
        <w:t>Rochfort</w:t>
      </w:r>
      <w:proofErr w:type="spellEnd"/>
      <w:r w:rsidR="000B470E" w:rsidRPr="00BD3F27">
        <w:rPr>
          <w:color w:val="000000" w:themeColor="text1"/>
        </w:rPr>
        <w:t xml:space="preserve"> S</w:t>
      </w:r>
      <w:r w:rsidR="000B470E" w:rsidRPr="00BD3F27">
        <w:rPr>
          <w:i/>
          <w:iCs/>
          <w:color w:val="000000" w:themeColor="text1"/>
        </w:rPr>
        <w:t xml:space="preserve"> et al</w:t>
      </w:r>
      <w:r w:rsidR="000B470E" w:rsidRPr="00BD3F27">
        <w:rPr>
          <w:color w:val="000000" w:themeColor="text1"/>
        </w:rPr>
        <w:t xml:space="preserve">: </w:t>
      </w:r>
      <w:r w:rsidR="000B470E" w:rsidRPr="00BD3F27">
        <w:rPr>
          <w:b/>
          <w:bCs/>
          <w:color w:val="000000" w:themeColor="text1"/>
        </w:rPr>
        <w:t xml:space="preserve">International NMR-based environmental </w:t>
      </w:r>
      <w:proofErr w:type="spellStart"/>
      <w:r w:rsidR="000B470E" w:rsidRPr="00BD3F27">
        <w:rPr>
          <w:b/>
          <w:bCs/>
          <w:color w:val="000000" w:themeColor="text1"/>
        </w:rPr>
        <w:t>metabolomics</w:t>
      </w:r>
      <w:proofErr w:type="spellEnd"/>
      <w:r w:rsidR="000B470E" w:rsidRPr="00BD3F27">
        <w:rPr>
          <w:b/>
          <w:bCs/>
          <w:color w:val="000000" w:themeColor="text1"/>
        </w:rPr>
        <w:t xml:space="preserve"> </w:t>
      </w:r>
      <w:proofErr w:type="spellStart"/>
      <w:r w:rsidR="000B470E" w:rsidRPr="00BD3F27">
        <w:rPr>
          <w:b/>
          <w:bCs/>
          <w:color w:val="000000" w:themeColor="text1"/>
        </w:rPr>
        <w:t>intercomparison</w:t>
      </w:r>
      <w:proofErr w:type="spellEnd"/>
      <w:r w:rsidR="000B470E" w:rsidRPr="00BD3F27">
        <w:rPr>
          <w:b/>
          <w:bCs/>
          <w:color w:val="000000" w:themeColor="text1"/>
        </w:rPr>
        <w:t xml:space="preserve"> exercise</w:t>
      </w:r>
      <w:r w:rsidR="000B470E" w:rsidRPr="00BD3F27">
        <w:rPr>
          <w:color w:val="000000" w:themeColor="text1"/>
        </w:rPr>
        <w:t xml:space="preserve">. </w:t>
      </w:r>
      <w:r w:rsidR="000B470E" w:rsidRPr="00BD3F27">
        <w:rPr>
          <w:i/>
          <w:iCs/>
          <w:color w:val="000000" w:themeColor="text1"/>
        </w:rPr>
        <w:t xml:space="preserve">Environ </w:t>
      </w:r>
      <w:proofErr w:type="spellStart"/>
      <w:r w:rsidR="000B470E" w:rsidRPr="00BD3F27">
        <w:rPr>
          <w:i/>
          <w:iCs/>
          <w:color w:val="000000" w:themeColor="text1"/>
        </w:rPr>
        <w:t>Sci</w:t>
      </w:r>
      <w:proofErr w:type="spellEnd"/>
      <w:r w:rsidR="000B470E" w:rsidRPr="00BD3F27">
        <w:rPr>
          <w:i/>
          <w:iCs/>
          <w:color w:val="000000" w:themeColor="text1"/>
        </w:rPr>
        <w:t xml:space="preserve"> </w:t>
      </w:r>
      <w:proofErr w:type="spellStart"/>
      <w:r w:rsidR="000B470E" w:rsidRPr="00BD3F27">
        <w:rPr>
          <w:i/>
          <w:iCs/>
          <w:color w:val="000000" w:themeColor="text1"/>
        </w:rPr>
        <w:t>Technol</w:t>
      </w:r>
      <w:proofErr w:type="spellEnd"/>
      <w:r w:rsidR="000B470E" w:rsidRPr="00BD3F27">
        <w:rPr>
          <w:i/>
          <w:iCs/>
          <w:color w:val="000000" w:themeColor="text1"/>
        </w:rPr>
        <w:t xml:space="preserve"> </w:t>
      </w:r>
      <w:r w:rsidR="000B470E" w:rsidRPr="00BD3F27">
        <w:rPr>
          <w:color w:val="000000" w:themeColor="text1"/>
        </w:rPr>
        <w:t xml:space="preserve">2009, </w:t>
      </w:r>
      <w:r w:rsidR="000B470E" w:rsidRPr="00BD3F27">
        <w:rPr>
          <w:b/>
          <w:bCs/>
          <w:color w:val="000000" w:themeColor="text1"/>
        </w:rPr>
        <w:t>43</w:t>
      </w:r>
      <w:r w:rsidR="000B470E" w:rsidRPr="00BD3F27">
        <w:rPr>
          <w:color w:val="000000" w:themeColor="text1"/>
        </w:rPr>
        <w:t>(1):219-225.</w:t>
      </w:r>
    </w:p>
    <w:p w:rsidR="004A037F" w:rsidRPr="00BD3F27" w:rsidRDefault="004A037F" w:rsidP="004A037F">
      <w:pPr>
        <w:spacing w:line="480" w:lineRule="auto"/>
        <w:rPr>
          <w:b/>
          <w:color w:val="000000" w:themeColor="text1"/>
        </w:rPr>
      </w:pPr>
      <w:r w:rsidRPr="00BD3F27">
        <w:rPr>
          <w:b/>
          <w:color w:val="000000" w:themeColor="text1"/>
        </w:rPr>
        <w:br w:type="column"/>
      </w:r>
      <w:r w:rsidR="00D4073F" w:rsidRPr="00BD3F27">
        <w:rPr>
          <w:b/>
          <w:color w:val="000000" w:themeColor="text1"/>
        </w:rPr>
        <w:lastRenderedPageBreak/>
        <w:t>Text</w:t>
      </w:r>
      <w:r w:rsidRPr="00BD3F27">
        <w:rPr>
          <w:b/>
          <w:color w:val="000000" w:themeColor="text1"/>
        </w:rPr>
        <w:t xml:space="preserve"> </w:t>
      </w:r>
      <w:r w:rsidR="00D4073F" w:rsidRPr="00BD3F27">
        <w:rPr>
          <w:b/>
          <w:color w:val="000000" w:themeColor="text1"/>
        </w:rPr>
        <w:t>S</w:t>
      </w:r>
      <w:r w:rsidRPr="00BD3F27">
        <w:rPr>
          <w:b/>
          <w:color w:val="000000" w:themeColor="text1"/>
        </w:rPr>
        <w:t>1, Figure 1</w:t>
      </w:r>
    </w:p>
    <w:p w:rsidR="004A037F" w:rsidRPr="00BD3F27" w:rsidRDefault="004A037F" w:rsidP="004A037F">
      <w:pPr>
        <w:rPr>
          <w:color w:val="000000" w:themeColor="text1"/>
        </w:rPr>
      </w:pPr>
      <w:r w:rsidRPr="00BD3F27">
        <w:rPr>
          <w:noProof/>
          <w:color w:val="000000" w:themeColor="text1"/>
          <w:lang w:val="en-US"/>
        </w:rPr>
        <w:drawing>
          <wp:inline distT="0" distB="0" distL="0" distR="0">
            <wp:extent cx="3458173" cy="6572250"/>
            <wp:effectExtent l="19050" t="0" r="8927" b="0"/>
            <wp:docPr id="1" name="Picture 1" descr="tmev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ev tiff"/>
                    <pic:cNvPicPr>
                      <a:picLocks noChangeAspect="1" noChangeArrowheads="1"/>
                    </pic:cNvPicPr>
                  </pic:nvPicPr>
                  <pic:blipFill>
                    <a:blip r:embed="rId5" cstate="print"/>
                    <a:srcRect t="3297" r="53500"/>
                    <a:stretch>
                      <a:fillRect/>
                    </a:stretch>
                  </pic:blipFill>
                  <pic:spPr bwMode="auto">
                    <a:xfrm>
                      <a:off x="0" y="0"/>
                      <a:ext cx="3461118" cy="6577847"/>
                    </a:xfrm>
                    <a:prstGeom prst="rect">
                      <a:avLst/>
                    </a:prstGeom>
                    <a:noFill/>
                    <a:ln w="9525">
                      <a:noFill/>
                      <a:miter lim="800000"/>
                      <a:headEnd/>
                      <a:tailEnd/>
                    </a:ln>
                  </pic:spPr>
                </pic:pic>
              </a:graphicData>
            </a:graphic>
          </wp:inline>
        </w:drawing>
      </w:r>
    </w:p>
    <w:p w:rsidR="004A037F" w:rsidRPr="00BD3F27" w:rsidRDefault="004A037F" w:rsidP="004A037F">
      <w:pPr>
        <w:jc w:val="both"/>
        <w:rPr>
          <w:color w:val="000000" w:themeColor="text1"/>
        </w:rPr>
      </w:pPr>
      <w:proofErr w:type="spellStart"/>
      <w:r w:rsidRPr="00BD3F27">
        <w:rPr>
          <w:color w:val="000000" w:themeColor="text1"/>
        </w:rPr>
        <w:t>Heatmap</w:t>
      </w:r>
      <w:proofErr w:type="spellEnd"/>
      <w:r w:rsidRPr="00BD3F27">
        <w:rPr>
          <w:color w:val="000000" w:themeColor="text1"/>
        </w:rPr>
        <w:t xml:space="preserve"> displaying GO terms (most specific only) significantly enriched (FDR&lt;0.05) between transcripts significantly differentially expressed between site (FDR&lt;0.05) and 1.5-fold induced or repressed versus Alde and all detectable transcripts. Red denotes GO terms enriched amongst induced transcripts, bright blue GO terms enriched amongst repressed transcripts and dull blue GO terms less common than expected amongst induced transcripts, black indicates no enrichment. </w:t>
      </w:r>
    </w:p>
    <w:p w:rsidR="003744F0" w:rsidRPr="00BD3F27" w:rsidRDefault="003744F0" w:rsidP="000B470E">
      <w:pPr>
        <w:spacing w:line="480" w:lineRule="auto"/>
        <w:jc w:val="both"/>
        <w:rPr>
          <w:color w:val="000000" w:themeColor="text1"/>
          <w:lang w:val="en-US"/>
        </w:rPr>
      </w:pPr>
    </w:p>
    <w:sectPr w:rsidR="003744F0" w:rsidRPr="00BD3F27" w:rsidSect="006B604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Menlo Regular">
    <w:altName w:val="Arial"/>
    <w:charset w:val="00"/>
    <w:family w:val="auto"/>
    <w:pitch w:val="variable"/>
    <w:sig w:usb0="00000000" w:usb1="D200F9FB" w:usb2="02000028" w:usb3="00000000" w:csb0="000001D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10409"/>
    <w:lvl w:ilvl="0">
      <w:start w:val="1"/>
      <w:numFmt w:val="bullet"/>
      <w:lvlText w:val=""/>
      <w:lvlJc w:val="left"/>
      <w:pPr>
        <w:tabs>
          <w:tab w:val="num" w:pos="502"/>
        </w:tabs>
        <w:ind w:left="502"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4259"/>
    <w:rsid w:val="00003F33"/>
    <w:rsid w:val="000376CC"/>
    <w:rsid w:val="000A23D0"/>
    <w:rsid w:val="000B0CAB"/>
    <w:rsid w:val="000B470E"/>
    <w:rsid w:val="001311B7"/>
    <w:rsid w:val="001417E0"/>
    <w:rsid w:val="0014192F"/>
    <w:rsid w:val="00184D76"/>
    <w:rsid w:val="00200C06"/>
    <w:rsid w:val="00244C92"/>
    <w:rsid w:val="00265B32"/>
    <w:rsid w:val="002C286F"/>
    <w:rsid w:val="002D4666"/>
    <w:rsid w:val="002D4933"/>
    <w:rsid w:val="0034148C"/>
    <w:rsid w:val="00360106"/>
    <w:rsid w:val="003744F0"/>
    <w:rsid w:val="00375DD3"/>
    <w:rsid w:val="00447818"/>
    <w:rsid w:val="00465FF9"/>
    <w:rsid w:val="00474094"/>
    <w:rsid w:val="004A037F"/>
    <w:rsid w:val="004A7985"/>
    <w:rsid w:val="004B74E5"/>
    <w:rsid w:val="00502E4D"/>
    <w:rsid w:val="005172C1"/>
    <w:rsid w:val="005516CD"/>
    <w:rsid w:val="00555A08"/>
    <w:rsid w:val="0056156F"/>
    <w:rsid w:val="00565C2A"/>
    <w:rsid w:val="005807E3"/>
    <w:rsid w:val="005C37D5"/>
    <w:rsid w:val="005D246F"/>
    <w:rsid w:val="006403E7"/>
    <w:rsid w:val="00660C2B"/>
    <w:rsid w:val="00663FBA"/>
    <w:rsid w:val="00666775"/>
    <w:rsid w:val="006941CF"/>
    <w:rsid w:val="006B6042"/>
    <w:rsid w:val="006D136C"/>
    <w:rsid w:val="006D7D38"/>
    <w:rsid w:val="006F2686"/>
    <w:rsid w:val="0071299B"/>
    <w:rsid w:val="0075506F"/>
    <w:rsid w:val="008253C0"/>
    <w:rsid w:val="00832C9D"/>
    <w:rsid w:val="00842826"/>
    <w:rsid w:val="00862EBB"/>
    <w:rsid w:val="00883852"/>
    <w:rsid w:val="008B2699"/>
    <w:rsid w:val="008B61ED"/>
    <w:rsid w:val="00940048"/>
    <w:rsid w:val="009536CE"/>
    <w:rsid w:val="00984B5C"/>
    <w:rsid w:val="009C3D5B"/>
    <w:rsid w:val="00A4378D"/>
    <w:rsid w:val="00A91923"/>
    <w:rsid w:val="00BA4259"/>
    <w:rsid w:val="00BD3F27"/>
    <w:rsid w:val="00C377CD"/>
    <w:rsid w:val="00C807E6"/>
    <w:rsid w:val="00CA1DF5"/>
    <w:rsid w:val="00CE0201"/>
    <w:rsid w:val="00D12636"/>
    <w:rsid w:val="00D4073F"/>
    <w:rsid w:val="00D709D7"/>
    <w:rsid w:val="00D75E21"/>
    <w:rsid w:val="00D76A6F"/>
    <w:rsid w:val="00D86015"/>
    <w:rsid w:val="00D87D3E"/>
    <w:rsid w:val="00D977C8"/>
    <w:rsid w:val="00DA0B3A"/>
    <w:rsid w:val="00DA1AA4"/>
    <w:rsid w:val="00DC1803"/>
    <w:rsid w:val="00DC3EF7"/>
    <w:rsid w:val="00DD265B"/>
    <w:rsid w:val="00E33EF6"/>
    <w:rsid w:val="00E358D8"/>
    <w:rsid w:val="00E638F6"/>
    <w:rsid w:val="00E95E7A"/>
    <w:rsid w:val="00E9787B"/>
    <w:rsid w:val="00EA1CF5"/>
    <w:rsid w:val="00EB3D1B"/>
    <w:rsid w:val="00F352CF"/>
    <w:rsid w:val="00F66CD4"/>
    <w:rsid w:val="00F750F6"/>
    <w:rsid w:val="00FB39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5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A425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259"/>
    <w:rPr>
      <w:rFonts w:ascii="Arial" w:eastAsia="Times New Roman" w:hAnsi="Arial" w:cs="Arial"/>
      <w:b/>
      <w:bCs/>
      <w:kern w:val="32"/>
      <w:sz w:val="32"/>
      <w:szCs w:val="32"/>
      <w:lang w:val="en-GB"/>
    </w:rPr>
  </w:style>
  <w:style w:type="character" w:styleId="CommentReference">
    <w:name w:val="annotation reference"/>
    <w:basedOn w:val="DefaultParagraphFont"/>
    <w:rsid w:val="001417E0"/>
    <w:rPr>
      <w:sz w:val="18"/>
      <w:szCs w:val="18"/>
    </w:rPr>
  </w:style>
  <w:style w:type="paragraph" w:styleId="CommentText">
    <w:name w:val="annotation text"/>
    <w:basedOn w:val="Normal"/>
    <w:link w:val="CommentTextChar"/>
    <w:rsid w:val="001417E0"/>
  </w:style>
  <w:style w:type="character" w:customStyle="1" w:styleId="CommentTextChar">
    <w:name w:val="Comment Text Char"/>
    <w:basedOn w:val="DefaultParagraphFont"/>
    <w:link w:val="CommentText"/>
    <w:rsid w:val="001417E0"/>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417E0"/>
    <w:rPr>
      <w:rFonts w:ascii="Tahoma" w:hAnsi="Tahoma" w:cs="Tahoma"/>
      <w:sz w:val="16"/>
      <w:szCs w:val="16"/>
    </w:rPr>
  </w:style>
  <w:style w:type="character" w:customStyle="1" w:styleId="BalloonTextChar">
    <w:name w:val="Balloon Text Char"/>
    <w:basedOn w:val="DefaultParagraphFont"/>
    <w:link w:val="BalloonText"/>
    <w:uiPriority w:val="99"/>
    <w:semiHidden/>
    <w:rsid w:val="001417E0"/>
    <w:rPr>
      <w:rFonts w:ascii="Tahoma" w:eastAsia="Times New Roman" w:hAnsi="Tahoma" w:cs="Tahoma"/>
      <w:sz w:val="16"/>
      <w:szCs w:val="16"/>
      <w:lang w:val="en-GB"/>
    </w:rPr>
  </w:style>
  <w:style w:type="character" w:customStyle="1" w:styleId="bold1">
    <w:name w:val="bold1"/>
    <w:basedOn w:val="DefaultParagraphFont"/>
    <w:rsid w:val="000A23D0"/>
    <w:rPr>
      <w:b/>
      <w:bCs/>
    </w:rPr>
  </w:style>
  <w:style w:type="paragraph" w:styleId="CommentSubject">
    <w:name w:val="annotation subject"/>
    <w:basedOn w:val="CommentText"/>
    <w:next w:val="CommentText"/>
    <w:link w:val="CommentSubjectChar"/>
    <w:uiPriority w:val="99"/>
    <w:semiHidden/>
    <w:unhideWhenUsed/>
    <w:rsid w:val="00663FBA"/>
    <w:rPr>
      <w:b/>
      <w:bCs/>
      <w:sz w:val="20"/>
      <w:szCs w:val="20"/>
    </w:rPr>
  </w:style>
  <w:style w:type="character" w:customStyle="1" w:styleId="CommentSubjectChar">
    <w:name w:val="Comment Subject Char"/>
    <w:basedOn w:val="CommentTextChar"/>
    <w:link w:val="CommentSubject"/>
    <w:uiPriority w:val="99"/>
    <w:semiHidden/>
    <w:rsid w:val="00663FBA"/>
    <w:rPr>
      <w:rFonts w:ascii="Times New Roman" w:eastAsia="Times New Roman" w:hAnsi="Times New Roman" w:cs="Times New Roman"/>
      <w:b/>
      <w:bCs/>
      <w:sz w:val="20"/>
      <w:szCs w:val="20"/>
      <w:lang w:val="en-GB"/>
    </w:rPr>
  </w:style>
  <w:style w:type="paragraph" w:styleId="ListParagraph">
    <w:name w:val="List Paragraph"/>
    <w:basedOn w:val="Normal"/>
    <w:rsid w:val="00EA1C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5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A425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259"/>
    <w:rPr>
      <w:rFonts w:ascii="Arial" w:eastAsia="Times New Roman" w:hAnsi="Arial" w:cs="Arial"/>
      <w:b/>
      <w:bCs/>
      <w:kern w:val="32"/>
      <w:sz w:val="32"/>
      <w:szCs w:val="32"/>
      <w:lang w:val="en-GB"/>
    </w:rPr>
  </w:style>
  <w:style w:type="character" w:styleId="CommentReference">
    <w:name w:val="annotation reference"/>
    <w:basedOn w:val="DefaultParagraphFont"/>
    <w:rsid w:val="001417E0"/>
    <w:rPr>
      <w:sz w:val="18"/>
      <w:szCs w:val="18"/>
    </w:rPr>
  </w:style>
  <w:style w:type="paragraph" w:styleId="CommentText">
    <w:name w:val="annotation text"/>
    <w:basedOn w:val="Normal"/>
    <w:link w:val="CommentTextChar"/>
    <w:rsid w:val="001417E0"/>
  </w:style>
  <w:style w:type="character" w:customStyle="1" w:styleId="CommentTextChar">
    <w:name w:val="Comment Text Char"/>
    <w:basedOn w:val="DefaultParagraphFont"/>
    <w:link w:val="CommentText"/>
    <w:rsid w:val="001417E0"/>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417E0"/>
    <w:rPr>
      <w:rFonts w:ascii="Tahoma" w:hAnsi="Tahoma" w:cs="Tahoma"/>
      <w:sz w:val="16"/>
      <w:szCs w:val="16"/>
    </w:rPr>
  </w:style>
  <w:style w:type="character" w:customStyle="1" w:styleId="BalloonTextChar">
    <w:name w:val="Balloon Text Char"/>
    <w:basedOn w:val="DefaultParagraphFont"/>
    <w:link w:val="BalloonText"/>
    <w:uiPriority w:val="99"/>
    <w:semiHidden/>
    <w:rsid w:val="001417E0"/>
    <w:rPr>
      <w:rFonts w:ascii="Tahoma" w:eastAsia="Times New Roman" w:hAnsi="Tahoma" w:cs="Tahoma"/>
      <w:sz w:val="16"/>
      <w:szCs w:val="16"/>
      <w:lang w:val="en-GB"/>
    </w:rPr>
  </w:style>
  <w:style w:type="character" w:customStyle="1" w:styleId="bold1">
    <w:name w:val="bold1"/>
    <w:basedOn w:val="DefaultParagraphFont"/>
    <w:rsid w:val="000A23D0"/>
    <w:rPr>
      <w:b/>
      <w:bCs/>
    </w:rPr>
  </w:style>
  <w:style w:type="paragraph" w:styleId="CommentSubject">
    <w:name w:val="annotation subject"/>
    <w:basedOn w:val="CommentText"/>
    <w:next w:val="CommentText"/>
    <w:link w:val="CommentSubjectChar"/>
    <w:uiPriority w:val="99"/>
    <w:semiHidden/>
    <w:unhideWhenUsed/>
    <w:rsid w:val="00663FBA"/>
    <w:rPr>
      <w:b/>
      <w:bCs/>
      <w:sz w:val="20"/>
      <w:szCs w:val="20"/>
    </w:rPr>
  </w:style>
  <w:style w:type="character" w:customStyle="1" w:styleId="CommentSubjectChar">
    <w:name w:val="Comment Subject Char"/>
    <w:basedOn w:val="CommentTextChar"/>
    <w:link w:val="CommentSubject"/>
    <w:uiPriority w:val="99"/>
    <w:semiHidden/>
    <w:rsid w:val="00663FBA"/>
    <w:rPr>
      <w:rFonts w:ascii="Times New Roman" w:eastAsia="Times New Roman" w:hAnsi="Times New Roman" w:cs="Times New Roman"/>
      <w:b/>
      <w:bCs/>
      <w:sz w:val="20"/>
      <w:szCs w:val="20"/>
      <w:lang w:val="en-GB"/>
    </w:rPr>
  </w:style>
  <w:style w:type="paragraph" w:styleId="ListParagraph">
    <w:name w:val="List Paragraph"/>
    <w:basedOn w:val="Normal"/>
    <w:rsid w:val="00EA1CF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5070</Words>
  <Characters>28903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33906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Williams</dc:creator>
  <cp:keywords/>
  <dc:description/>
  <cp:lastModifiedBy>Tim Williams</cp:lastModifiedBy>
  <cp:revision>5</cp:revision>
  <dcterms:created xsi:type="dcterms:W3CDTF">2011-05-06T13:51:00Z</dcterms:created>
  <dcterms:modified xsi:type="dcterms:W3CDTF">2011-06-27T17:08:00Z</dcterms:modified>
</cp:coreProperties>
</file>