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Default Extension="wmf" ContentType="image/x-wmf"/>
  <Default Extension="bin" ContentType="application/vnd.openxmlformats-officedocument.oleObject"/>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E755F" w:rsidRDefault="006D7476" w:rsidP="009E755F">
      <w:pPr>
        <w:pStyle w:val="Heading1"/>
        <w:jc w:val="both"/>
      </w:pPr>
      <w:r>
        <w:t>Supplementa</w:t>
      </w:r>
      <w:r w:rsidR="00385B6F">
        <w:t>l Methods</w:t>
      </w:r>
    </w:p>
    <w:p w:rsidR="009E755F" w:rsidRDefault="00FE0BCE" w:rsidP="009E755F">
      <w:pPr>
        <w:pStyle w:val="Heading2"/>
        <w:jc w:val="both"/>
      </w:pPr>
      <w:r>
        <w:t>Accounting for Compositional Structure in Relative Abundance Data</w:t>
      </w:r>
    </w:p>
    <w:p w:rsidR="00FE6E45" w:rsidRDefault="00174E77" w:rsidP="009E755F">
      <w:pPr>
        <w:jc w:val="both"/>
      </w:pPr>
      <w:r>
        <w:t>D</w:t>
      </w:r>
      <w:r w:rsidR="00A613A6">
        <w:t>ata summarized as</w:t>
      </w:r>
      <w:r w:rsidR="00E26523">
        <w:t xml:space="preserve"> relative, rather than absolute, abundances such as 16S profiling is known to </w:t>
      </w:r>
      <w:r>
        <w:t>be challenging to analyze</w:t>
      </w:r>
      <w:r w:rsidR="00E26523">
        <w:t xml:space="preserve"> </w:t>
      </w:r>
      <w:r>
        <w:t xml:space="preserve">due to </w:t>
      </w:r>
      <w:r w:rsidR="00E26523">
        <w:t>compositional measurements.</w:t>
      </w:r>
      <w:r w:rsidR="00A613A6">
        <w:t xml:space="preserve">  </w:t>
      </w:r>
      <w:r w:rsidR="00E26523">
        <w:t xml:space="preserve">Specifically, since </w:t>
      </w:r>
      <w:r>
        <w:t xml:space="preserve">relative </w:t>
      </w:r>
      <w:r w:rsidR="00E26523">
        <w:t xml:space="preserve">abundances are normalized to sum to one </w:t>
      </w:r>
      <w:r>
        <w:t>(</w:t>
      </w:r>
      <w:r w:rsidR="00E26523">
        <w:t xml:space="preserve">or </w:t>
      </w:r>
      <w:r>
        <w:t xml:space="preserve">equivalently rarefied to </w:t>
      </w:r>
      <w:r w:rsidR="00E26523">
        <w:t>an arbitrary constant</w:t>
      </w:r>
      <w:r>
        <w:t xml:space="preserve"> total)</w:t>
      </w:r>
      <w:r w:rsidR="00E26523">
        <w:t>, a</w:t>
      </w:r>
      <w:r w:rsidR="005D5C1B" w:rsidRPr="005D5C1B">
        <w:t>n increase in one relative abundance must be accompanied by a compositional decrease in another.</w:t>
      </w:r>
      <w:r>
        <w:t xml:space="preserve">  This is true even for raw sequence read counts due to the fixed depth of sequencing, which samples proportionally from a total underlying population.</w:t>
      </w:r>
      <w:r w:rsidR="005D5C1B" w:rsidRPr="005D5C1B">
        <w:t xml:space="preserve"> </w:t>
      </w:r>
      <w:r w:rsidR="00F06A17">
        <w:t xml:space="preserve"> </w:t>
      </w:r>
      <w:r w:rsidR="00E26523">
        <w:t xml:space="preserve">Assessing correlation between compositional data by traditional measures such as Pearson’s correlation can lead to spurious correlations </w:t>
      </w:r>
      <w:r w:rsidR="009E0985">
        <w:fldChar w:fldCharType="begin"/>
      </w:r>
      <w:r w:rsidR="00D84FAF">
        <w:instrText xml:space="preserve"> ADDIN EN.CITE &lt;EndNote&gt;&lt;Cite&gt;&lt;Author&gt;Aitchison&lt;/Author&gt;&lt;Year&gt;2003&lt;/Year&gt;&lt;RecNum&gt;95&lt;/RecNum&gt;&lt;DisplayText&gt;[1]&lt;/DisplayText&gt;&lt;record&gt;&lt;rec-number&gt;95&lt;/rec-number&gt;&lt;foreign-keys&gt;&lt;key app="EN" db-id="0aadv9prp59wdgeadww5xxx3dv5w2dfwztxf"&gt;95&lt;/key&gt;&lt;/foreign-keys&gt;&lt;ref-type name="Conference Paper"&gt;47&lt;/ref-type&gt;&lt;contributors&gt;&lt;authors&gt;&lt;author&gt;J Aitchison&lt;/author&gt;&lt;/authors&gt;&lt;/contributors&gt;&lt;titles&gt;&lt;title&gt;A Concise Guide to Compositional Data Analysis&lt;/title&gt;&lt;secondary-title&gt;CDA Workshop Girona&lt;/secondary-title&gt;&lt;/titles&gt;&lt;dates&gt;&lt;year&gt;2003&lt;/year&gt;&lt;/dates&gt;&lt;urls&gt;&lt;/urls&gt;&lt;/record&gt;&lt;/Cite&gt;&lt;/EndNote&gt;</w:instrText>
      </w:r>
      <w:r w:rsidR="009E0985">
        <w:fldChar w:fldCharType="separate"/>
      </w:r>
      <w:r w:rsidR="00D84FAF">
        <w:rPr>
          <w:noProof/>
        </w:rPr>
        <w:t>[</w:t>
      </w:r>
      <w:hyperlink w:anchor="_ENREF_1" w:tooltip="Aitchison, 2003 #95" w:history="1">
        <w:r w:rsidR="00D84FAF">
          <w:rPr>
            <w:noProof/>
          </w:rPr>
          <w:t>1</w:t>
        </w:r>
      </w:hyperlink>
      <w:r w:rsidR="00D84FAF">
        <w:rPr>
          <w:noProof/>
        </w:rPr>
        <w:t>]</w:t>
      </w:r>
      <w:r w:rsidR="009E0985">
        <w:fldChar w:fldCharType="end"/>
      </w:r>
      <w:r w:rsidR="00E26523">
        <w:t>.</w:t>
      </w:r>
      <w:r w:rsidR="005D5C1B" w:rsidRPr="005D5C1B">
        <w:t xml:space="preserve"> </w:t>
      </w:r>
      <w:r w:rsidR="00F06A17">
        <w:t xml:space="preserve"> </w:t>
      </w:r>
      <w:r w:rsidR="00210B8F">
        <w:t>Thus</w:t>
      </w:r>
      <w:r w:rsidR="005D5C1B" w:rsidRPr="005D5C1B">
        <w:t>,</w:t>
      </w:r>
      <w:r w:rsidR="00E26523">
        <w:t xml:space="preserve"> we developed </w:t>
      </w:r>
      <w:r w:rsidR="00210B8F">
        <w:t xml:space="preserve">a </w:t>
      </w:r>
      <w:r w:rsidR="00E26523">
        <w:t xml:space="preserve">novel methodology that </w:t>
      </w:r>
      <w:r w:rsidR="00210B8F">
        <w:t>mitigates the</w:t>
      </w:r>
      <w:r w:rsidR="00AD0DA6">
        <w:t xml:space="preserve"> </w:t>
      </w:r>
      <w:r w:rsidR="00E26523">
        <w:t xml:space="preserve">compositional </w:t>
      </w:r>
      <w:r w:rsidR="00210B8F">
        <w:t xml:space="preserve">effect </w:t>
      </w:r>
      <w:r w:rsidR="009B0B69">
        <w:t xml:space="preserve">in data </w:t>
      </w:r>
      <w:r w:rsidR="003207A7">
        <w:t xml:space="preserve">while </w:t>
      </w:r>
      <w:r w:rsidR="009B0B69">
        <w:t>assessing significance of an association.  In particular,</w:t>
      </w:r>
      <w:r w:rsidR="005D5C1B" w:rsidRPr="005D5C1B">
        <w:t xml:space="preserve"> we </w:t>
      </w:r>
      <w:r w:rsidR="005D5C1B">
        <w:t>compar</w:t>
      </w:r>
      <w:r w:rsidR="00C8302E">
        <w:t>e</w:t>
      </w:r>
      <w:r w:rsidR="005D5C1B" w:rsidRPr="005D5C1B">
        <w:t xml:space="preserve"> </w:t>
      </w:r>
      <w:r w:rsidR="005D5C1B">
        <w:t xml:space="preserve">the </w:t>
      </w:r>
      <w:r w:rsidR="00686471">
        <w:t>distribution</w:t>
      </w:r>
      <w:r w:rsidR="00C8302E">
        <w:t xml:space="preserve"> of correlations from </w:t>
      </w:r>
      <w:r w:rsidR="005D5C1B" w:rsidRPr="005D5C1B">
        <w:t>bootstrap sampled data</w:t>
      </w:r>
      <w:r w:rsidR="00C8302E">
        <w:t>, which represents the confidence interval of the observed correlation, with the null</w:t>
      </w:r>
      <w:r w:rsidR="005D5C1B">
        <w:t xml:space="preserve"> distribution</w:t>
      </w:r>
      <w:r w:rsidR="00C8302E">
        <w:t xml:space="preserve"> of correlations from renormalized permuted data, which represents the correlation stru</w:t>
      </w:r>
      <w:r w:rsidR="00C86502">
        <w:t>cture arising purely from the compositionality</w:t>
      </w:r>
      <w:r w:rsidR="005D5C1B">
        <w:t>.</w:t>
      </w:r>
      <w:r w:rsidR="00CD2059">
        <w:t xml:space="preserve"> </w:t>
      </w:r>
    </w:p>
    <w:p w:rsidR="00C804DC" w:rsidRDefault="00C804DC" w:rsidP="009E755F">
      <w:pPr>
        <w:jc w:val="both"/>
      </w:pPr>
      <w:r>
        <w:t>In general, assessing significance of an association (e.g. correlation between two vectors) involves comparing an observed value to an appropriate null distribution.  Permutation, which breaks any true association in the data, is a common approach for constructing the null distribution.  Here, we show that simple permutation does not give an appropriate null distribution for compositional data</w:t>
      </w:r>
      <w:r w:rsidR="00D72FD5">
        <w:t>, as it breaks compositionality and provides anti-conservative estimates</w:t>
      </w:r>
      <w:r>
        <w:t xml:space="preserve">.  However, </w:t>
      </w:r>
      <w:r w:rsidR="006E7E79">
        <w:t>appropriate</w:t>
      </w:r>
      <w:r>
        <w:t xml:space="preserve"> compositional structure can be re</w:t>
      </w:r>
      <w:r w:rsidR="00AD0DA6">
        <w:t>-</w:t>
      </w:r>
      <w:r>
        <w:t>introduce</w:t>
      </w:r>
      <w:r w:rsidR="00D72FD5">
        <w:t>d</w:t>
      </w:r>
      <w:r>
        <w:t xml:space="preserve"> to </w:t>
      </w:r>
      <w:r w:rsidR="00DF5DE1">
        <w:t>permuted</w:t>
      </w:r>
      <w:r>
        <w:t xml:space="preserve"> data by renormaliz</w:t>
      </w:r>
      <w:r w:rsidR="00DF5DE1">
        <w:t>ation</w:t>
      </w:r>
      <w:r w:rsidR="00AD0DA6">
        <w:t>, and a</w:t>
      </w:r>
      <w:r w:rsidR="00B4275D">
        <w:t xml:space="preserve"> </w:t>
      </w:r>
      <w:r w:rsidR="00AD0DA6">
        <w:t>null distribution can be obtained</w:t>
      </w:r>
      <w:r w:rsidR="00B576E3">
        <w:t xml:space="preserve"> </w:t>
      </w:r>
      <w:r w:rsidR="00B4275D">
        <w:t>from</w:t>
      </w:r>
      <w:r w:rsidR="00B576E3">
        <w:t xml:space="preserve"> the </w:t>
      </w:r>
      <w:r w:rsidR="00B4275D">
        <w:t xml:space="preserve">resulting </w:t>
      </w:r>
      <w:r w:rsidR="00B576E3">
        <w:t>permutation-renormalization scheme</w:t>
      </w:r>
      <w:r>
        <w:t>.</w:t>
      </w:r>
      <w:r w:rsidR="00DF5DE1">
        <w:t xml:space="preserve">  This </w:t>
      </w:r>
      <w:r w:rsidR="003D6DA1">
        <w:t xml:space="preserve">approach </w:t>
      </w:r>
      <w:r w:rsidR="00DF5DE1">
        <w:t>can be further improved by using bootstrapped confidence interval</w:t>
      </w:r>
      <w:r w:rsidR="008146A4">
        <w:t>s</w:t>
      </w:r>
      <w:r w:rsidR="00DF5DE1">
        <w:t xml:space="preserve"> for the observed value as opposed to </w:t>
      </w:r>
      <w:r w:rsidR="008146A4">
        <w:t xml:space="preserve">the point </w:t>
      </w:r>
      <w:r w:rsidR="00DF5DE1">
        <w:t>observ</w:t>
      </w:r>
      <w:r w:rsidR="008146A4">
        <w:t xml:space="preserve">ation </w:t>
      </w:r>
      <w:r w:rsidR="00DF5DE1">
        <w:t>itself</w:t>
      </w:r>
      <w:r w:rsidR="008146A4">
        <w:t>,</w:t>
      </w:r>
      <w:r w:rsidR="003D6DA1">
        <w:t xml:space="preserve"> </w:t>
      </w:r>
      <w:r w:rsidR="008146A4">
        <w:t>since</w:t>
      </w:r>
      <w:r w:rsidR="003D6DA1">
        <w:t xml:space="preserve"> the bootstrap </w:t>
      </w:r>
      <w:r w:rsidR="008146A4">
        <w:t>process</w:t>
      </w:r>
      <w:r w:rsidR="003D6DA1">
        <w:t xml:space="preserve"> scale</w:t>
      </w:r>
      <w:r w:rsidR="008146A4">
        <w:t>s</w:t>
      </w:r>
      <w:r w:rsidR="003D6DA1">
        <w:t xml:space="preserve"> the variance of the test according to the severity of compositional effect as manifested through </w:t>
      </w:r>
      <w:r w:rsidR="002349E3">
        <w:t xml:space="preserve">the </w:t>
      </w:r>
      <w:r w:rsidR="003D6DA1">
        <w:t>signal-to-noise ratio</w:t>
      </w:r>
      <w:r w:rsidR="00DF5DE1">
        <w:t>.</w:t>
      </w:r>
    </w:p>
    <w:p w:rsidR="00000000" w:rsidRDefault="00760642">
      <w:pPr>
        <w:pStyle w:val="Heading3"/>
      </w:pPr>
      <w:r>
        <w:t>Compositionality leads to spurious correlation and loss of information</w:t>
      </w:r>
    </w:p>
    <w:p w:rsidR="00130565" w:rsidRDefault="00A224BA" w:rsidP="009E755F">
      <w:pPr>
        <w:jc w:val="both"/>
      </w:pPr>
      <w:r>
        <w:t xml:space="preserve">As </w:t>
      </w:r>
      <w:r w:rsidR="0075108C">
        <w:t>discussed</w:t>
      </w:r>
      <w:r w:rsidR="00654590">
        <w:t xml:space="preserve"> previously </w:t>
      </w:r>
      <w:r w:rsidR="009E0985">
        <w:fldChar w:fldCharType="begin"/>
      </w:r>
      <w:r w:rsidR="00D84FAF">
        <w:instrText xml:space="preserve"> ADDIN EN.CITE &lt;EndNote&gt;&lt;Cite&gt;&lt;Author&gt;Aitchison&lt;/Author&gt;&lt;Year&gt;2003&lt;/Year&gt;&lt;RecNum&gt;95&lt;/RecNum&gt;&lt;DisplayText&gt;[1]&lt;/DisplayText&gt;&lt;record&gt;&lt;rec-number&gt;95&lt;/rec-number&gt;&lt;foreign-keys&gt;&lt;key app="EN" db-id="0aadv9prp59wdgeadww5xxx3dv5w2dfwztxf"&gt;95&lt;/key&gt;&lt;/foreign-keys&gt;&lt;ref-type name="Conference Paper"&gt;47&lt;/ref-type&gt;&lt;contributors&gt;&lt;authors&gt;&lt;author&gt;J Aitchison&lt;/author&gt;&lt;/authors&gt;&lt;/contributors&gt;&lt;titles&gt;&lt;title&gt;A Concise Guide to Compositional Data Analysis&lt;/title&gt;&lt;secondary-title&gt;CDA Workshop Girona&lt;/secondary-title&gt;&lt;/titles&gt;&lt;dates&gt;&lt;year&gt;2003&lt;/year&gt;&lt;/dates&gt;&lt;urls&gt;&lt;/urls&gt;&lt;/record&gt;&lt;/Cite&gt;&lt;/EndNote&gt;</w:instrText>
      </w:r>
      <w:r w:rsidR="009E0985">
        <w:fldChar w:fldCharType="separate"/>
      </w:r>
      <w:r w:rsidR="00D84FAF">
        <w:rPr>
          <w:noProof/>
        </w:rPr>
        <w:t>[</w:t>
      </w:r>
      <w:hyperlink w:anchor="_ENREF_1" w:tooltip="Aitchison, 2003 #95" w:history="1">
        <w:r w:rsidR="00D84FAF">
          <w:rPr>
            <w:noProof/>
          </w:rPr>
          <w:t>1</w:t>
        </w:r>
      </w:hyperlink>
      <w:r w:rsidR="00D84FAF">
        <w:rPr>
          <w:noProof/>
        </w:rPr>
        <w:t>]</w:t>
      </w:r>
      <w:r w:rsidR="009E0985">
        <w:fldChar w:fldCharType="end"/>
      </w:r>
      <w:r w:rsidR="00654590">
        <w:t xml:space="preserve">, </w:t>
      </w:r>
      <w:r w:rsidR="0075108C">
        <w:t xml:space="preserve">relative abundance data which sum to a constant (e.g. one) can exhibit spurious correlation.  For example, in </w:t>
      </w:r>
      <w:r w:rsidR="009E0985">
        <w:fldChar w:fldCharType="begin"/>
      </w:r>
      <w:r w:rsidR="0075108C">
        <w:instrText xml:space="preserve"> REF _Ref321950492 \h </w:instrText>
      </w:r>
      <w:r w:rsidR="009E0985">
        <w:fldChar w:fldCharType="separate"/>
      </w:r>
      <w:r w:rsidR="0075108C">
        <w:t>Figure SM</w:t>
      </w:r>
      <w:r w:rsidR="0075108C">
        <w:rPr>
          <w:noProof/>
        </w:rPr>
        <w:t>1</w:t>
      </w:r>
      <w:r w:rsidR="009E0985">
        <w:fldChar w:fldCharType="end"/>
      </w:r>
      <w:r w:rsidR="0075108C">
        <w:t>, the absolute</w:t>
      </w:r>
      <w:r w:rsidR="00130565">
        <w:t xml:space="preserve"> (A and B) and relative (C)</w:t>
      </w:r>
      <w:r w:rsidR="0075108C">
        <w:t xml:space="preserve"> abundances of four microbes (b1-4)</w:t>
      </w:r>
      <w:r w:rsidR="00130565">
        <w:t xml:space="preserve"> are shown</w:t>
      </w:r>
      <w:r w:rsidR="0075108C">
        <w:t>.</w:t>
      </w:r>
      <w:r w:rsidR="00130565">
        <w:t xml:space="preserve">  Microbes b1 and b2 are uncorrelated in </w:t>
      </w:r>
      <w:r w:rsidR="009E0985">
        <w:fldChar w:fldCharType="begin"/>
      </w:r>
      <w:r w:rsidR="00D61CE2">
        <w:instrText xml:space="preserve"> REF _Ref321950492 \h </w:instrText>
      </w:r>
      <w:r w:rsidR="009E0985">
        <w:fldChar w:fldCharType="separate"/>
      </w:r>
      <w:r w:rsidR="00D61CE2">
        <w:t>Figure SM</w:t>
      </w:r>
      <w:r w:rsidR="00D61CE2">
        <w:rPr>
          <w:noProof/>
        </w:rPr>
        <w:t>1</w:t>
      </w:r>
      <w:r w:rsidR="009E0985">
        <w:fldChar w:fldCharType="end"/>
      </w:r>
      <w:r w:rsidR="00130565">
        <w:t>A, but the relative abundance</w:t>
      </w:r>
      <w:r w:rsidR="00D61CE2">
        <w:t xml:space="preserve"> (</w:t>
      </w:r>
      <w:r w:rsidR="009E0985">
        <w:fldChar w:fldCharType="begin"/>
      </w:r>
      <w:r w:rsidR="00D61CE2">
        <w:instrText xml:space="preserve"> REF _Ref321950492 \h </w:instrText>
      </w:r>
      <w:r w:rsidR="009E0985">
        <w:fldChar w:fldCharType="separate"/>
      </w:r>
      <w:r w:rsidR="00D61CE2">
        <w:t>Figure SM</w:t>
      </w:r>
      <w:r w:rsidR="00D61CE2">
        <w:rPr>
          <w:noProof/>
        </w:rPr>
        <w:t>1</w:t>
      </w:r>
      <w:r w:rsidR="009E0985">
        <w:fldChar w:fldCharType="end"/>
      </w:r>
      <w:r w:rsidR="00412C46">
        <w:t>C</w:t>
      </w:r>
      <w:r w:rsidR="00D61CE2">
        <w:t>)</w:t>
      </w:r>
      <w:r w:rsidR="00130565">
        <w:t xml:space="preserve"> shows negative correlation between them because of the compositional effect introduced through normalization.</w:t>
      </w:r>
      <w:r w:rsidR="00FD462D">
        <w:t xml:space="preserve">  It is then important to account for the compositional effect in assessing correlation between abundance data.</w:t>
      </w:r>
    </w:p>
    <w:p w:rsidR="0075108C" w:rsidRDefault="00FD462D" w:rsidP="0075108C">
      <w:pPr>
        <w:jc w:val="both"/>
      </w:pPr>
      <w:r>
        <w:t xml:space="preserve">Unfortunately, some true correlation may not be possible to recover.  In the example shown in </w:t>
      </w:r>
      <w:r w:rsidR="009E0985">
        <w:fldChar w:fldCharType="begin"/>
      </w:r>
      <w:r>
        <w:instrText xml:space="preserve"> REF _Ref321950492 \h </w:instrText>
      </w:r>
      <w:r w:rsidR="009E0985">
        <w:fldChar w:fldCharType="separate"/>
      </w:r>
      <w:r>
        <w:t>Figure SM</w:t>
      </w:r>
      <w:r>
        <w:rPr>
          <w:noProof/>
        </w:rPr>
        <w:t>1</w:t>
      </w:r>
      <w:r w:rsidR="009E0985">
        <w:fldChar w:fldCharType="end"/>
      </w:r>
      <w:r>
        <w:t>, a</w:t>
      </w:r>
      <w:r w:rsidR="00130565">
        <w:t>lthough the relationship between b1 and b2 is different in A and B, t</w:t>
      </w:r>
      <w:r w:rsidR="0075108C">
        <w:t>he</w:t>
      </w:r>
      <w:r w:rsidR="00130565">
        <w:t xml:space="preserve"> two </w:t>
      </w:r>
      <w:r w:rsidR="00A614CC">
        <w:t xml:space="preserve">different </w:t>
      </w:r>
      <w:r w:rsidR="00130565">
        <w:t>absolute abundance dataset</w:t>
      </w:r>
      <w:r w:rsidR="00A614CC">
        <w:t>s</w:t>
      </w:r>
      <w:r w:rsidR="0075108C">
        <w:t xml:space="preserve"> produce exactly the same relative abundance</w:t>
      </w:r>
      <w:r w:rsidR="00130565">
        <w:t xml:space="preserve"> profile</w:t>
      </w:r>
      <w:r w:rsidR="00A614CC">
        <w:t>s</w:t>
      </w:r>
      <w:r w:rsidR="00130565">
        <w:t>, masking the difference in the true correlation structure</w:t>
      </w:r>
      <w:r w:rsidR="0075108C">
        <w:t>.</w:t>
      </w:r>
      <w:r w:rsidR="00130565">
        <w:t xml:space="preserve">  </w:t>
      </w:r>
      <w:r>
        <w:t>Thus, in some cases, it may</w:t>
      </w:r>
      <w:r w:rsidR="00130565">
        <w:t xml:space="preserve"> be impossible </w:t>
      </w:r>
      <w:r>
        <w:t>to uncover the true underlying correlation given the relative abundance data alone.  Hence, i</w:t>
      </w:r>
      <w:r w:rsidR="0075108C">
        <w:t xml:space="preserve">t is important to stress that </w:t>
      </w:r>
      <w:r>
        <w:t xml:space="preserve">because </w:t>
      </w:r>
      <w:r w:rsidR="0075108C">
        <w:t>only the relative abundances were observed</w:t>
      </w:r>
      <w:r>
        <w:t xml:space="preserve"> in our HMP 16S dataset</w:t>
      </w:r>
      <w:r w:rsidR="0075108C">
        <w:t>,</w:t>
      </w:r>
      <w:r>
        <w:t xml:space="preserve"> </w:t>
      </w:r>
      <w:r w:rsidR="0075108C">
        <w:t>some true correlation</w:t>
      </w:r>
      <w:r>
        <w:t xml:space="preserve"> between microbes</w:t>
      </w:r>
      <w:r w:rsidR="0075108C">
        <w:t xml:space="preserve"> may not be possible to elicit.  </w:t>
      </w:r>
      <w:r>
        <w:t>And</w:t>
      </w:r>
      <w:r w:rsidR="0075108C">
        <w:t xml:space="preserve"> in evaluating the performance of our method, we need to bear in mind </w:t>
      </w:r>
      <w:r>
        <w:t>that our aim</w:t>
      </w:r>
      <w:r w:rsidR="0075108C">
        <w:t xml:space="preserve"> is to mitigate the effect of compositionality and lessen the confidence in correlations that are likely results of the compositional structure rather than to complete</w:t>
      </w:r>
      <w:r w:rsidR="00531ED2">
        <w:t>ly</w:t>
      </w:r>
      <w:r w:rsidR="0075108C">
        <w:t xml:space="preserve"> recover all true correlations.</w:t>
      </w:r>
    </w:p>
    <w:p w:rsidR="00000000" w:rsidRDefault="00F62AC9">
      <w:pPr>
        <w:keepNext/>
        <w:jc w:val="both"/>
      </w:pPr>
      <w:r>
        <w:rPr>
          <w:noProof/>
          <w:lang w:eastAsia="en-US" w:bidi="ar-SA"/>
        </w:rPr>
        <w:drawing>
          <wp:inline distT="0" distB="0" distL="0" distR="0">
            <wp:extent cx="5019158" cy="4840762"/>
            <wp:effectExtent l="0" t="0" r="0" b="0"/>
            <wp:docPr id="4" name="Picture 1" descr="C:\Users\fah sathirapongsasut\Dropbox\HMP_Relationships\supplement\Supplement Method\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 sathirapongsasut\Dropbox\HMP_Relationships\supplement\Supplement Method\SM1.png"/>
                    <pic:cNvPicPr>
                      <a:picLocks noChangeAspect="1" noChangeArrowheads="1"/>
                    </pic:cNvPicPr>
                  </pic:nvPicPr>
                  <pic:blipFill>
                    <a:blip r:embed="rId8" cstate="print"/>
                    <a:stretch>
                      <a:fillRect/>
                    </a:stretch>
                  </pic:blipFill>
                  <pic:spPr bwMode="auto">
                    <a:xfrm>
                      <a:off x="0" y="0"/>
                      <a:ext cx="5019158" cy="4840762"/>
                    </a:xfrm>
                    <a:prstGeom prst="rect">
                      <a:avLst/>
                    </a:prstGeom>
                    <a:noFill/>
                    <a:ln w="9525">
                      <a:noFill/>
                      <a:miter lim="800000"/>
                      <a:headEnd/>
                      <a:tailEnd/>
                    </a:ln>
                  </pic:spPr>
                </pic:pic>
              </a:graphicData>
            </a:graphic>
          </wp:inline>
        </w:drawing>
      </w:r>
    </w:p>
    <w:p w:rsidR="00000000" w:rsidRDefault="00A224BA">
      <w:pPr>
        <w:pStyle w:val="Caption"/>
        <w:jc w:val="both"/>
      </w:pPr>
      <w:bookmarkStart w:id="0" w:name="_Ref321950492"/>
      <w:r>
        <w:t>Figure SM</w:t>
      </w:r>
      <w:r w:rsidR="009E0985">
        <w:fldChar w:fldCharType="begin"/>
      </w:r>
      <w:r>
        <w:instrText xml:space="preserve"> SEQ Figure_S \* ARABIC </w:instrText>
      </w:r>
      <w:r w:rsidR="009E0985">
        <w:fldChar w:fldCharType="separate"/>
      </w:r>
      <w:r w:rsidR="008559AA">
        <w:rPr>
          <w:noProof/>
        </w:rPr>
        <w:t>1</w:t>
      </w:r>
      <w:r w:rsidR="009E0985">
        <w:fldChar w:fldCharType="end"/>
      </w:r>
      <w:bookmarkEnd w:id="0"/>
      <w:r>
        <w:rPr>
          <w:noProof/>
        </w:rPr>
        <w:t xml:space="preserve"> Compositional</w:t>
      </w:r>
      <w:r w:rsidR="00DA7218">
        <w:rPr>
          <w:noProof/>
        </w:rPr>
        <w:t>ity</w:t>
      </w:r>
      <w:r>
        <w:rPr>
          <w:noProof/>
        </w:rPr>
        <w:t xml:space="preserve"> induces spurious correlation and causes loss of information.</w:t>
      </w:r>
      <w:r w:rsidR="001B3823">
        <w:rPr>
          <w:noProof/>
        </w:rPr>
        <w:t xml:space="preserve"> </w:t>
      </w:r>
      <w:r w:rsidR="00DA7218">
        <w:rPr>
          <w:noProof/>
        </w:rPr>
        <w:t>Consider two possible absolute abundance profiles from collections of microbial communities including taxa b1 through b4. 250 synthetic samples</w:t>
      </w:r>
      <w:r w:rsidR="001B3823">
        <w:rPr>
          <w:noProof/>
        </w:rPr>
        <w:t xml:space="preserve"> (A)</w:t>
      </w:r>
      <w:r w:rsidR="00DA7218">
        <w:rPr>
          <w:noProof/>
        </w:rPr>
        <w:t xml:space="preserve"> and (B) represent </w:t>
      </w:r>
      <w:r>
        <w:rPr>
          <w:noProof/>
        </w:rPr>
        <w:t>absolute abundance</w:t>
      </w:r>
      <w:r w:rsidR="00DA7218">
        <w:rPr>
          <w:noProof/>
        </w:rPr>
        <w:t>s</w:t>
      </w:r>
      <w:r>
        <w:rPr>
          <w:noProof/>
        </w:rPr>
        <w:t xml:space="preserve"> (read counts) </w:t>
      </w:r>
      <w:r w:rsidR="00DA7218">
        <w:rPr>
          <w:noProof/>
        </w:rPr>
        <w:t xml:space="preserve">that, upon normalization into relative abundance (C), produce identical values </w:t>
      </w:r>
      <w:r>
        <w:rPr>
          <w:noProof/>
        </w:rPr>
        <w:t xml:space="preserve">from which it is impossivle to recover the original </w:t>
      </w:r>
      <w:r w:rsidR="00DA7218">
        <w:rPr>
          <w:noProof/>
        </w:rPr>
        <w:t>information</w:t>
      </w:r>
      <w:r>
        <w:rPr>
          <w:noProof/>
        </w:rPr>
        <w:t xml:space="preserve">. </w:t>
      </w:r>
      <w:r w:rsidR="005B1DE1">
        <w:rPr>
          <w:noProof/>
        </w:rPr>
        <w:t xml:space="preserve">Hence </w:t>
      </w:r>
      <w:r w:rsidR="00FF2145">
        <w:rPr>
          <w:noProof/>
        </w:rPr>
        <w:t xml:space="preserve">it is important to note that in even the best-handled relative abundance data, </w:t>
      </w:r>
      <w:r w:rsidR="005B1DE1">
        <w:rPr>
          <w:noProof/>
        </w:rPr>
        <w:t xml:space="preserve">there may be some correlation that cannot completely </w:t>
      </w:r>
      <w:r w:rsidR="00FF2145">
        <w:rPr>
          <w:noProof/>
        </w:rPr>
        <w:t xml:space="preserve">be </w:t>
      </w:r>
      <w:r w:rsidR="005B1DE1">
        <w:rPr>
          <w:noProof/>
        </w:rPr>
        <w:t>recover</w:t>
      </w:r>
      <w:r w:rsidR="00FF2145">
        <w:rPr>
          <w:noProof/>
        </w:rPr>
        <w:t>ed</w:t>
      </w:r>
      <w:r w:rsidR="00B84586">
        <w:rPr>
          <w:noProof/>
        </w:rPr>
        <w:t>.</w:t>
      </w:r>
      <w:r w:rsidR="005B1DE1">
        <w:rPr>
          <w:noProof/>
        </w:rPr>
        <w:t xml:space="preserve"> </w:t>
      </w:r>
    </w:p>
    <w:p w:rsidR="00067F5E" w:rsidRDefault="00F62AC9" w:rsidP="00067F5E">
      <w:pPr>
        <w:jc w:val="both"/>
      </w:pPr>
      <w:r>
        <w:rPr>
          <w:noProof/>
          <w:lang w:eastAsia="en-US" w:bidi="ar-SA"/>
        </w:rPr>
        <w:drawing>
          <wp:inline distT="0" distB="0" distL="0" distR="0">
            <wp:extent cx="5882816" cy="3028950"/>
            <wp:effectExtent l="0" t="0" r="0" b="0"/>
            <wp:docPr id="2" name="Picture 6" descr="C:\Users\fah sathirapongsasut\Dropbox\HMP_Relationships\supplement\Supplement Method\SM4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h sathirapongsasut\Dropbox\HMP_Relationships\supplement\Supplement Method\SM4AB.png"/>
                    <pic:cNvPicPr>
                      <a:picLocks noChangeAspect="1" noChangeArrowheads="1"/>
                    </pic:cNvPicPr>
                  </pic:nvPicPr>
                  <pic:blipFill>
                    <a:blip r:embed="rId9" cstate="print"/>
                    <a:stretch>
                      <a:fillRect/>
                    </a:stretch>
                  </pic:blipFill>
                  <pic:spPr bwMode="auto">
                    <a:xfrm>
                      <a:off x="0" y="0"/>
                      <a:ext cx="5882816" cy="3028950"/>
                    </a:xfrm>
                    <a:prstGeom prst="rect">
                      <a:avLst/>
                    </a:prstGeom>
                    <a:noFill/>
                    <a:ln w="9525">
                      <a:noFill/>
                      <a:miter lim="800000"/>
                      <a:headEnd/>
                      <a:tailEnd/>
                    </a:ln>
                  </pic:spPr>
                </pic:pic>
              </a:graphicData>
            </a:graphic>
          </wp:inline>
        </w:drawing>
      </w:r>
    </w:p>
    <w:p w:rsidR="00000000" w:rsidRDefault="009E0985">
      <w:pPr>
        <w:rPr>
          <w:sz w:val="24"/>
        </w:rPr>
      </w:pPr>
      <w:r w:rsidRPr="009E0985">
        <w:rPr>
          <w:b/>
          <w:sz w:val="24"/>
        </w:rPr>
        <w:t>C</w:t>
      </w:r>
    </w:p>
    <w:p w:rsidR="00000000" w:rsidRDefault="00F62AC9">
      <w:r>
        <w:rPr>
          <w:noProof/>
          <w:lang w:eastAsia="en-US" w:bidi="ar-SA"/>
        </w:rPr>
        <w:drawing>
          <wp:inline distT="0" distB="0" distL="0" distR="0">
            <wp:extent cx="5943600" cy="2971800"/>
            <wp:effectExtent l="19050" t="0" r="0" b="0"/>
            <wp:docPr id="12" name="Picture 3" descr="C:\Users\fah sathirapongsasut\Dropbox\HMP_Relationships\supplement\Supplement Method\composition.randhist.rand.perm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h sathirapongsasut\Dropbox\HMP_Relationships\supplement\Supplement Method\composition.randhist.rand.permute.png"/>
                    <pic:cNvPicPr>
                      <a:picLocks noChangeAspect="1" noChangeArrowheads="1"/>
                    </pic:cNvPicPr>
                  </pic:nvPicPr>
                  <pic:blipFill>
                    <a:blip r:embed="rId10" cstate="prin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000000" w:rsidRDefault="00A6521D">
      <w:pPr>
        <w:pStyle w:val="Caption"/>
      </w:pPr>
      <w:bookmarkStart w:id="1" w:name="_Ref321953894"/>
      <w:r>
        <w:t>Figure S</w:t>
      </w:r>
      <w:r w:rsidR="00AE6637">
        <w:t>M</w:t>
      </w:r>
      <w:r w:rsidR="009E0985">
        <w:fldChar w:fldCharType="begin"/>
      </w:r>
      <w:r>
        <w:instrText xml:space="preserve"> SEQ Figure_S \* ARABIC </w:instrText>
      </w:r>
      <w:r w:rsidR="009E0985">
        <w:fldChar w:fldCharType="separate"/>
      </w:r>
      <w:r w:rsidR="008559AA">
        <w:rPr>
          <w:noProof/>
        </w:rPr>
        <w:t>2</w:t>
      </w:r>
      <w:r w:rsidR="009E0985">
        <w:fldChar w:fldCharType="end"/>
      </w:r>
      <w:bookmarkEnd w:id="1"/>
      <w:r>
        <w:rPr>
          <w:noProof/>
        </w:rPr>
        <w:t xml:space="preserve"> Permutation test</w:t>
      </w:r>
      <w:r w:rsidR="008C0016">
        <w:rPr>
          <w:noProof/>
        </w:rPr>
        <w:t>ing alone</w:t>
      </w:r>
      <w:r>
        <w:rPr>
          <w:noProof/>
        </w:rPr>
        <w:t xml:space="preserve"> cannot distinguish between true and spurious correlation</w:t>
      </w:r>
      <w:r w:rsidR="008C0016">
        <w:rPr>
          <w:noProof/>
        </w:rPr>
        <w:t>s</w:t>
      </w:r>
      <w:r>
        <w:rPr>
          <w:noProof/>
        </w:rPr>
        <w:t xml:space="preserve"> </w:t>
      </w:r>
      <w:r w:rsidR="008C0016">
        <w:rPr>
          <w:noProof/>
        </w:rPr>
        <w:t>in compositional data</w:t>
      </w:r>
      <w:r>
        <w:rPr>
          <w:noProof/>
        </w:rPr>
        <w:t xml:space="preserve">. </w:t>
      </w:r>
      <w:r w:rsidR="00645584" w:rsidRPr="00CC2467">
        <w:rPr>
          <w:b w:val="0"/>
          <w:bCs w:val="0"/>
        </w:rPr>
        <w:t xml:space="preserve">(A-B) Simulated absolute and relative microbial abundances. </w:t>
      </w:r>
      <w:r w:rsidR="00645584" w:rsidRPr="00CC2467">
        <w:rPr>
          <w:b w:val="0"/>
          <w:bCs w:val="0"/>
          <w:noProof/>
        </w:rPr>
        <w:t xml:space="preserve">(C) </w:t>
      </w:r>
      <w:r w:rsidR="00AB2C05">
        <w:rPr>
          <w:b w:val="0"/>
          <w:bCs w:val="0"/>
          <w:noProof/>
        </w:rPr>
        <w:t>P</w:t>
      </w:r>
      <w:r w:rsidR="009E0985" w:rsidRPr="009E0985">
        <w:rPr>
          <w:b w:val="0"/>
          <w:bCs w:val="0"/>
          <w:noProof/>
        </w:rPr>
        <w:t>airwise correlation</w:t>
      </w:r>
      <w:r w:rsidR="00AB2C05">
        <w:rPr>
          <w:b w:val="0"/>
          <w:bCs w:val="0"/>
          <w:noProof/>
        </w:rPr>
        <w:t>s</w:t>
      </w:r>
      <w:r w:rsidR="009E0985" w:rsidRPr="009E0985">
        <w:rPr>
          <w:b w:val="0"/>
          <w:bCs w:val="0"/>
          <w:noProof/>
        </w:rPr>
        <w:t xml:space="preserve"> (vertical red line</w:t>
      </w:r>
      <w:r w:rsidR="00AB2C05">
        <w:rPr>
          <w:b w:val="0"/>
          <w:bCs w:val="0"/>
          <w:noProof/>
        </w:rPr>
        <w:t>s</w:t>
      </w:r>
      <w:r w:rsidR="009E0985" w:rsidRPr="009E0985">
        <w:rPr>
          <w:b w:val="0"/>
          <w:bCs w:val="0"/>
          <w:noProof/>
        </w:rPr>
        <w:t>)</w:t>
      </w:r>
      <w:r w:rsidR="00AB2C05">
        <w:rPr>
          <w:b w:val="0"/>
          <w:bCs w:val="0"/>
          <w:noProof/>
        </w:rPr>
        <w:t xml:space="preserve"> b</w:t>
      </w:r>
      <w:r w:rsidR="00AB2C05" w:rsidRPr="00E535F6">
        <w:rPr>
          <w:b w:val="0"/>
          <w:bCs w:val="0"/>
          <w:noProof/>
        </w:rPr>
        <w:t>ased on the relative abundance in (B)</w:t>
      </w:r>
      <w:r w:rsidR="00AB2C05">
        <w:rPr>
          <w:b w:val="0"/>
          <w:bCs w:val="0"/>
          <w:noProof/>
        </w:rPr>
        <w:t xml:space="preserve"> for each pair of synthetic microbes. These are accompanied by </w:t>
      </w:r>
      <w:r w:rsidR="009E0985" w:rsidRPr="009E0985">
        <w:rPr>
          <w:b w:val="0"/>
          <w:bCs w:val="0"/>
          <w:noProof/>
        </w:rPr>
        <w:t>permutation</w:t>
      </w:r>
      <w:r w:rsidR="00AB2C05">
        <w:rPr>
          <w:b w:val="0"/>
          <w:bCs w:val="0"/>
          <w:noProof/>
        </w:rPr>
        <w:t>-based</w:t>
      </w:r>
      <w:r w:rsidR="009E0985" w:rsidRPr="009E0985">
        <w:rPr>
          <w:b w:val="0"/>
          <w:bCs w:val="0"/>
          <w:noProof/>
        </w:rPr>
        <w:t xml:space="preserve"> null distribution</w:t>
      </w:r>
      <w:r w:rsidR="00AB2C05">
        <w:rPr>
          <w:b w:val="0"/>
          <w:bCs w:val="0"/>
          <w:noProof/>
        </w:rPr>
        <w:t>s</w:t>
      </w:r>
      <w:r w:rsidR="009E0985" w:rsidRPr="009E0985">
        <w:rPr>
          <w:b w:val="0"/>
          <w:bCs w:val="0"/>
          <w:noProof/>
        </w:rPr>
        <w:t>, standard deviation</w:t>
      </w:r>
      <w:r w:rsidR="00AB2C05">
        <w:rPr>
          <w:b w:val="0"/>
          <w:bCs w:val="0"/>
          <w:noProof/>
        </w:rPr>
        <w:t>s,</w:t>
      </w:r>
      <w:r w:rsidR="009E0985" w:rsidRPr="009E0985">
        <w:rPr>
          <w:b w:val="0"/>
          <w:bCs w:val="0"/>
          <w:noProof/>
        </w:rPr>
        <w:t xml:space="preserve"> and z-test p-values</w:t>
      </w:r>
      <w:r w:rsidR="00AB2C05">
        <w:rPr>
          <w:b w:val="0"/>
          <w:bCs w:val="0"/>
          <w:noProof/>
        </w:rPr>
        <w:t>,</w:t>
      </w:r>
      <w:r w:rsidR="009E0985" w:rsidRPr="009E0985">
        <w:rPr>
          <w:b w:val="0"/>
          <w:bCs w:val="0"/>
          <w:noProof/>
        </w:rPr>
        <w:t xml:space="preserve"> </w:t>
      </w:r>
      <w:r w:rsidR="00AB2C05">
        <w:rPr>
          <w:b w:val="0"/>
          <w:bCs w:val="0"/>
          <w:noProof/>
        </w:rPr>
        <w:t>all of which are highly (and incorrectly) significant due to compositional effects</w:t>
      </w:r>
      <w:r w:rsidR="009E0985" w:rsidRPr="009E0985">
        <w:rPr>
          <w:b w:val="0"/>
          <w:bCs w:val="0"/>
          <w:noProof/>
        </w:rPr>
        <w:t>.</w:t>
      </w:r>
    </w:p>
    <w:p w:rsidR="00000000" w:rsidRDefault="00760642">
      <w:pPr>
        <w:pStyle w:val="Heading3"/>
      </w:pPr>
      <w:r>
        <w:t>Standard permutation test</w:t>
      </w:r>
      <w:r w:rsidR="00C93734">
        <w:t>s</w:t>
      </w:r>
      <w:r>
        <w:t xml:space="preserve"> </w:t>
      </w:r>
      <w:r w:rsidR="00C93734">
        <w:t>result in false positive</w:t>
      </w:r>
      <w:r>
        <w:t xml:space="preserve"> correlation</w:t>
      </w:r>
      <w:r w:rsidR="00C93734">
        <w:t>s</w:t>
      </w:r>
    </w:p>
    <w:p w:rsidR="00760642" w:rsidRDefault="00DB2610" w:rsidP="009E755F">
      <w:pPr>
        <w:jc w:val="both"/>
      </w:pPr>
      <w:r>
        <w:t>One</w:t>
      </w:r>
      <w:r w:rsidR="0054609C">
        <w:t xml:space="preserve"> standard procedure to evaluate the significance of a correlation is </w:t>
      </w:r>
      <w:r w:rsidR="00484EED">
        <w:t xml:space="preserve">a </w:t>
      </w:r>
      <w:r w:rsidR="0054609C">
        <w:t xml:space="preserve">permutation test.  Unfortunately, </w:t>
      </w:r>
      <w:r w:rsidR="00580F75">
        <w:t xml:space="preserve">the </w:t>
      </w:r>
      <w:r w:rsidR="0054609C">
        <w:t>permutation test cannot distinguish spurious co</w:t>
      </w:r>
      <w:r w:rsidR="00A6521D">
        <w:t>mpositional correlation</w:t>
      </w:r>
      <w:r w:rsidR="008678AD">
        <w:t>s, as the permutation process removes all compositional effects and generates a highly anti-conservative null distribution</w:t>
      </w:r>
      <w:r w:rsidR="00580F75">
        <w:t>. A</w:t>
      </w:r>
      <w:r w:rsidR="00A6521D">
        <w:t>s demonstrated in</w:t>
      </w:r>
      <w:r w:rsidR="00FB4963">
        <w:t xml:space="preserve"> an example in</w:t>
      </w:r>
      <w:r w:rsidR="00A6521D">
        <w:t xml:space="preserve"> </w:t>
      </w:r>
      <w:r w:rsidR="009E0985">
        <w:fldChar w:fldCharType="begin"/>
      </w:r>
      <w:r w:rsidR="00580F75">
        <w:instrText xml:space="preserve"> REF _Ref321953894 \h </w:instrText>
      </w:r>
      <w:r w:rsidR="009E0985">
        <w:fldChar w:fldCharType="separate"/>
      </w:r>
      <w:r w:rsidR="00580F75">
        <w:t>Figure SM</w:t>
      </w:r>
      <w:r w:rsidR="00580F75">
        <w:rPr>
          <w:noProof/>
        </w:rPr>
        <w:t>2</w:t>
      </w:r>
      <w:r w:rsidR="009E0985">
        <w:fldChar w:fldCharType="end"/>
      </w:r>
      <w:r w:rsidR="00580F75">
        <w:t xml:space="preserve">, </w:t>
      </w:r>
      <w:r w:rsidR="00FB4963">
        <w:t xml:space="preserve">the </w:t>
      </w:r>
      <w:r w:rsidR="00580F75">
        <w:t xml:space="preserve">permutation test declares all </w:t>
      </w:r>
      <w:proofErr w:type="spellStart"/>
      <w:r w:rsidR="00580F75">
        <w:t>pairwise</w:t>
      </w:r>
      <w:proofErr w:type="spellEnd"/>
      <w:r w:rsidR="00580F75">
        <w:t xml:space="preserve"> correl</w:t>
      </w:r>
      <w:r w:rsidR="00F76F41">
        <w:t xml:space="preserve">ation </w:t>
      </w:r>
      <w:r w:rsidR="00FB4963">
        <w:t xml:space="preserve">in a synthetic dataset </w:t>
      </w:r>
      <w:r w:rsidR="00F76F41">
        <w:t>to be highly s</w:t>
      </w:r>
      <w:r w:rsidR="00742FC5">
        <w:t>ignificant.  This is</w:t>
      </w:r>
      <w:r w:rsidR="00F76F41">
        <w:t xml:space="preserve"> because the location and scale of the permutation null distribution does not reflect the compositional structure.</w:t>
      </w:r>
      <w:r w:rsidR="00742FC5">
        <w:t xml:space="preserve">  The distribu</w:t>
      </w:r>
      <w:r w:rsidR="001D42EA">
        <w:t xml:space="preserve">tion always centers at zero </w:t>
      </w:r>
      <w:r w:rsidR="00F16E09">
        <w:t>with</w:t>
      </w:r>
      <w:r w:rsidR="00742FC5">
        <w:t xml:space="preserve"> constant standard deviation.</w:t>
      </w:r>
      <w:r w:rsidR="00641A54">
        <w:t xml:space="preserve">  A desired null distribution should vary </w:t>
      </w:r>
      <w:r w:rsidR="00531ED2">
        <w:t>the</w:t>
      </w:r>
      <w:r w:rsidR="00641A54">
        <w:t xml:space="preserve"> location</w:t>
      </w:r>
      <w:r w:rsidR="00531ED2">
        <w:t xml:space="preserve"> to reflect the portion of eventual correlation attributable to compositionality alone</w:t>
      </w:r>
      <w:r w:rsidR="00641A54">
        <w:t xml:space="preserve"> and </w:t>
      </w:r>
      <w:r w:rsidR="00531ED2">
        <w:t xml:space="preserve">vary the </w:t>
      </w:r>
      <w:r w:rsidR="00641A54">
        <w:t xml:space="preserve">scale to reflect </w:t>
      </w:r>
      <w:r w:rsidR="001B2C7F">
        <w:t>measurement</w:t>
      </w:r>
      <w:r w:rsidR="00641A54">
        <w:t xml:space="preserve"> </w:t>
      </w:r>
      <w:r w:rsidR="001B2C7F">
        <w:t>scale</w:t>
      </w:r>
      <w:r w:rsidR="00531ED2">
        <w:t xml:space="preserve"> </w:t>
      </w:r>
      <w:r w:rsidR="002373BC">
        <w:t>based on</w:t>
      </w:r>
      <w:r w:rsidR="00531ED2">
        <w:t xml:space="preserve"> </w:t>
      </w:r>
      <w:r w:rsidR="002373BC">
        <w:t>variation</w:t>
      </w:r>
      <w:r w:rsidR="00531ED2">
        <w:t xml:space="preserve"> in the absolute abundance</w:t>
      </w:r>
      <w:r w:rsidR="00641A54">
        <w:t>.</w:t>
      </w:r>
    </w:p>
    <w:p w:rsidR="00000000" w:rsidRDefault="00095C33">
      <w:pPr>
        <w:pStyle w:val="Heading3"/>
      </w:pPr>
      <w:r>
        <w:t>The Permutation-</w:t>
      </w:r>
      <w:r w:rsidR="00760642">
        <w:t xml:space="preserve">Renormalization and </w:t>
      </w:r>
      <w:r>
        <w:t>Bootstrap (</w:t>
      </w:r>
      <w:proofErr w:type="spellStart"/>
      <w:r>
        <w:t>ReBoot</w:t>
      </w:r>
      <w:proofErr w:type="spellEnd"/>
      <w:r>
        <w:t>) Method</w:t>
      </w:r>
    </w:p>
    <w:p w:rsidR="00F86A7C" w:rsidRDefault="00003964" w:rsidP="001C4ED7">
      <w:pPr>
        <w:jc w:val="both"/>
      </w:pPr>
      <w:r>
        <w:t xml:space="preserve">We propose </w:t>
      </w:r>
      <w:proofErr w:type="spellStart"/>
      <w:r>
        <w:t>ReBoot</w:t>
      </w:r>
      <w:proofErr w:type="spellEnd"/>
      <w:r>
        <w:t>: Permutation-Renormalization and Bootstrap Method, a procedure to construct a null distribution that reflects the compositional effect in the abundance data.</w:t>
      </w:r>
      <w:r w:rsidR="00A77E0F">
        <w:t xml:space="preserve"> </w:t>
      </w:r>
      <w:r w:rsidR="007D1178">
        <w:t xml:space="preserve">As shown in </w:t>
      </w:r>
      <w:r w:rsidR="009E0985">
        <w:fldChar w:fldCharType="begin"/>
      </w:r>
      <w:r w:rsidR="007D1178">
        <w:instrText xml:space="preserve"> REF _Ref321956562 \h </w:instrText>
      </w:r>
      <w:r w:rsidR="009E0985">
        <w:fldChar w:fldCharType="separate"/>
      </w:r>
      <w:r w:rsidR="007D1178">
        <w:t>Figure SM</w:t>
      </w:r>
      <w:r w:rsidR="007D1178">
        <w:rPr>
          <w:noProof/>
        </w:rPr>
        <w:t>3</w:t>
      </w:r>
      <w:r w:rsidR="009E0985">
        <w:fldChar w:fldCharType="end"/>
      </w:r>
      <w:r w:rsidR="007D1178">
        <w:t>, t</w:t>
      </w:r>
      <w:r w:rsidR="00F07BF1">
        <w:t xml:space="preserve">he method starts with the relative abundance data and </w:t>
      </w:r>
      <w:r w:rsidR="003A4637">
        <w:t>consists</w:t>
      </w:r>
      <w:r w:rsidR="00F07BF1">
        <w:t xml:space="preserve"> of two steps: constructing </w:t>
      </w:r>
      <w:r w:rsidR="0073046E">
        <w:t>a</w:t>
      </w:r>
      <w:r w:rsidR="00F07BF1">
        <w:t xml:space="preserve"> compositional</w:t>
      </w:r>
      <w:r w:rsidR="0073046E">
        <w:t>ity-aware</w:t>
      </w:r>
      <w:r w:rsidR="00F07BF1">
        <w:t xml:space="preserve"> null distribution and </w:t>
      </w:r>
      <w:r w:rsidR="0073046E">
        <w:t>comparing this with</w:t>
      </w:r>
      <w:r w:rsidR="00F07BF1">
        <w:t xml:space="preserve"> </w:t>
      </w:r>
      <w:r w:rsidR="0073046E">
        <w:t>a</w:t>
      </w:r>
      <w:r w:rsidR="00F07BF1">
        <w:t xml:space="preserve"> bootstrap confidence interval around the observed correlation.  </w:t>
      </w:r>
      <w:r w:rsidR="0023410C">
        <w:t>T</w:t>
      </w:r>
      <w:r w:rsidR="00F07BF1">
        <w:t>he</w:t>
      </w:r>
      <w:r w:rsidR="0023410C">
        <w:t>se</w:t>
      </w:r>
      <w:r w:rsidR="00F07BF1">
        <w:t xml:space="preserve"> step</w:t>
      </w:r>
      <w:r w:rsidR="0023410C">
        <w:t>s</w:t>
      </w:r>
      <w:r w:rsidR="00F07BF1">
        <w:t xml:space="preserve"> proceed as follows:</w:t>
      </w:r>
    </w:p>
    <w:p w:rsidR="00000000" w:rsidRDefault="00F07BF1">
      <w:pPr>
        <w:pStyle w:val="Heading4"/>
      </w:pPr>
      <w:r>
        <w:t>Constructing the compositional null distribution</w:t>
      </w:r>
    </w:p>
    <w:p w:rsidR="00000000" w:rsidRDefault="00F07BF1">
      <w:r>
        <w:t>For each pair of microbes:</w:t>
      </w:r>
    </w:p>
    <w:p w:rsidR="00000000" w:rsidRDefault="00F07BF1">
      <w:pPr>
        <w:pStyle w:val="ListParagraph"/>
        <w:numPr>
          <w:ilvl w:val="0"/>
          <w:numId w:val="1"/>
          <w:numberingChange w:id="2" w:author="Karoline Faust" w:date="2012-05-04T10:07:00Z" w:original="%1:1:0:."/>
        </w:numPr>
      </w:pPr>
      <w:r>
        <w:t>Permute the relative abundance of the microbes</w:t>
      </w:r>
    </w:p>
    <w:p w:rsidR="00000000" w:rsidRDefault="00F07BF1">
      <w:pPr>
        <w:pStyle w:val="ListParagraph"/>
        <w:numPr>
          <w:ilvl w:val="0"/>
          <w:numId w:val="1"/>
          <w:numberingChange w:id="3" w:author="Karoline Faust" w:date="2012-05-04T10:07:00Z" w:original="%1:2:0:."/>
        </w:numPr>
      </w:pPr>
      <w:r>
        <w:t>Renormalize the permuted abundance by summing over each sample</w:t>
      </w:r>
      <w:r w:rsidR="000F4E74">
        <w:t xml:space="preserve"> and dividing the abundance in that sample by the sample sum</w:t>
      </w:r>
    </w:p>
    <w:p w:rsidR="00000000" w:rsidRDefault="000F4E74">
      <w:pPr>
        <w:pStyle w:val="ListParagraph"/>
        <w:numPr>
          <w:ilvl w:val="0"/>
          <w:numId w:val="1"/>
          <w:numberingChange w:id="4" w:author="Karoline Faust" w:date="2012-05-04T10:07:00Z" w:original="%1:3:0:."/>
        </w:numPr>
      </w:pPr>
      <w:r>
        <w:t>Calculate the correlation between the renormalized permuted relative abundance</w:t>
      </w:r>
      <w:r w:rsidR="002D2D5E">
        <w:t>s</w:t>
      </w:r>
      <w:r>
        <w:t xml:space="preserve"> of the two microbes</w:t>
      </w:r>
    </w:p>
    <w:p w:rsidR="00000000" w:rsidRDefault="000F4E74">
      <w:pPr>
        <w:pStyle w:val="ListParagraph"/>
        <w:numPr>
          <w:ilvl w:val="0"/>
          <w:numId w:val="1"/>
          <w:numberingChange w:id="5" w:author="Karoline Faust" w:date="2012-05-04T10:07:00Z" w:original="%1:4:0:."/>
        </w:numPr>
      </w:pPr>
      <w:r>
        <w:t xml:space="preserve">Repeat (1)-(3) </w:t>
      </w:r>
      <w:r w:rsidR="009E0985" w:rsidRPr="009E0985">
        <w:rPr>
          <w:i/>
          <w:iCs/>
        </w:rPr>
        <w:t>N</w:t>
      </w:r>
      <w:r>
        <w:t xml:space="preserve"> times to obtain the compositional null distribution</w:t>
      </w:r>
    </w:p>
    <w:p w:rsidR="00000000" w:rsidRDefault="00F07BF1">
      <w:pPr>
        <w:pStyle w:val="Heading4"/>
      </w:pPr>
      <w:r>
        <w:t>Constructing the bootstrap confidence interval</w:t>
      </w:r>
    </w:p>
    <w:p w:rsidR="00000000" w:rsidRDefault="002D2D5E">
      <w:r>
        <w:t>For each pair of microbes:</w:t>
      </w:r>
    </w:p>
    <w:p w:rsidR="00000000" w:rsidRDefault="002D2D5E">
      <w:pPr>
        <w:pStyle w:val="ListParagraph"/>
        <w:numPr>
          <w:ilvl w:val="0"/>
          <w:numId w:val="2"/>
          <w:numberingChange w:id="6" w:author="Karoline Faust" w:date="2012-05-04T10:07:00Z" w:original="%1:1:0:."/>
        </w:numPr>
      </w:pPr>
      <w:r>
        <w:t xml:space="preserve">Sample with replacement the sample indices and construct a bootstrap </w:t>
      </w:r>
      <w:proofErr w:type="spellStart"/>
      <w:r>
        <w:t>resampled</w:t>
      </w:r>
      <w:proofErr w:type="spellEnd"/>
      <w:r>
        <w:t xml:space="preserve"> dataset</w:t>
      </w:r>
    </w:p>
    <w:p w:rsidR="00000000" w:rsidRDefault="002D2D5E">
      <w:pPr>
        <w:pStyle w:val="ListParagraph"/>
        <w:numPr>
          <w:ilvl w:val="0"/>
          <w:numId w:val="2"/>
          <w:numberingChange w:id="7" w:author="Karoline Faust" w:date="2012-05-04T10:07:00Z" w:original="%1:2:0:."/>
        </w:numPr>
      </w:pPr>
      <w:r>
        <w:t>Calculate the correlation between the bootstrapped relative abundances of the two microbes</w:t>
      </w:r>
    </w:p>
    <w:p w:rsidR="00000000" w:rsidRDefault="002D2D5E">
      <w:pPr>
        <w:pStyle w:val="ListParagraph"/>
        <w:numPr>
          <w:ilvl w:val="0"/>
          <w:numId w:val="2"/>
          <w:numberingChange w:id="8" w:author="Karoline Faust" w:date="2012-05-04T10:07:00Z" w:original="%1:3:0:."/>
        </w:numPr>
      </w:pPr>
      <w:r>
        <w:t xml:space="preserve">Repeat (1)-(2) </w:t>
      </w:r>
      <w:r w:rsidR="009E0985" w:rsidRPr="009E0985">
        <w:rPr>
          <w:i/>
          <w:iCs/>
        </w:rPr>
        <w:t>B</w:t>
      </w:r>
      <w:r>
        <w:t xml:space="preserve"> times to obtain the bootstrap distribution, which represents the confidence interval around the observed correlation</w:t>
      </w:r>
    </w:p>
    <w:p w:rsidR="00F86A7C" w:rsidRDefault="009B28A6" w:rsidP="001C4ED7">
      <w:pPr>
        <w:jc w:val="both"/>
      </w:pPr>
      <w:r>
        <w:t>Finally, compare the compositional null distribution and the boot</w:t>
      </w:r>
      <w:r w:rsidR="005D0E5B">
        <w:t xml:space="preserve">strap distribution by </w:t>
      </w:r>
      <w:r>
        <w:t>z-test</w:t>
      </w:r>
      <w:r w:rsidR="008D6B7D">
        <w:t xml:space="preserve"> with </w:t>
      </w:r>
      <w:r w:rsidR="00DF72EF">
        <w:t>the variance pooled from both distributions using an equally weighted unbiased least square estimate</w:t>
      </w:r>
      <w:r>
        <w:t>.</w:t>
      </w:r>
    </w:p>
    <w:p w:rsidR="00000000" w:rsidRDefault="00F62AC9">
      <w:pPr>
        <w:keepNext/>
        <w:jc w:val="both"/>
      </w:pPr>
      <w:r>
        <w:rPr>
          <w:noProof/>
          <w:lang w:eastAsia="en-US" w:bidi="ar-SA"/>
        </w:rPr>
        <w:drawing>
          <wp:inline distT="0" distB="0" distL="0" distR="0">
            <wp:extent cx="5934075" cy="2400300"/>
            <wp:effectExtent l="19050" t="0" r="9525" b="0"/>
            <wp:docPr id="13" name="Picture 4" descr="C:\Users\fah sathirapongsasut\Dropbox\HMP_Relationships\supplement\Supplement Method\S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h sathirapongsasut\Dropbox\HMP_Relationships\supplement\Supplement Method\SM3.png"/>
                    <pic:cNvPicPr>
                      <a:picLocks noChangeAspect="1" noChangeArrowheads="1"/>
                    </pic:cNvPicPr>
                  </pic:nvPicPr>
                  <pic:blipFill>
                    <a:blip r:embed="rId11" cstate="print"/>
                    <a:srcRect/>
                    <a:stretch>
                      <a:fillRect/>
                    </a:stretch>
                  </pic:blipFill>
                  <pic:spPr bwMode="auto">
                    <a:xfrm>
                      <a:off x="0" y="0"/>
                      <a:ext cx="5934075" cy="2400300"/>
                    </a:xfrm>
                    <a:prstGeom prst="rect">
                      <a:avLst/>
                    </a:prstGeom>
                    <a:noFill/>
                    <a:ln w="9525">
                      <a:noFill/>
                      <a:miter lim="800000"/>
                      <a:headEnd/>
                      <a:tailEnd/>
                    </a:ln>
                  </pic:spPr>
                </pic:pic>
              </a:graphicData>
            </a:graphic>
          </wp:inline>
        </w:drawing>
      </w:r>
    </w:p>
    <w:p w:rsidR="00000000" w:rsidRDefault="00705DF2">
      <w:pPr>
        <w:pStyle w:val="Caption"/>
        <w:jc w:val="both"/>
      </w:pPr>
      <w:bookmarkStart w:id="9" w:name="_Ref321956562"/>
      <w:r>
        <w:t>Figure SM</w:t>
      </w:r>
      <w:r w:rsidR="009E0985">
        <w:fldChar w:fldCharType="begin"/>
      </w:r>
      <w:r>
        <w:instrText xml:space="preserve"> SEQ Figure_S \* ARABIC </w:instrText>
      </w:r>
      <w:r w:rsidR="009E0985">
        <w:fldChar w:fldCharType="separate"/>
      </w:r>
      <w:r w:rsidR="008559AA">
        <w:rPr>
          <w:noProof/>
        </w:rPr>
        <w:t>3</w:t>
      </w:r>
      <w:r w:rsidR="009E0985">
        <w:fldChar w:fldCharType="end"/>
      </w:r>
      <w:bookmarkEnd w:id="9"/>
      <w:r>
        <w:t xml:space="preserve"> The Permutation-Renormalization and Bootstrap (</w:t>
      </w:r>
      <w:proofErr w:type="spellStart"/>
      <w:r>
        <w:t>ReBoot</w:t>
      </w:r>
      <w:proofErr w:type="spellEnd"/>
      <w:r>
        <w:t>) Method</w:t>
      </w:r>
      <w:r w:rsidR="00003964">
        <w:t>.</w:t>
      </w:r>
      <w:r w:rsidR="00E46D3C">
        <w:t xml:space="preserve">  </w:t>
      </w:r>
      <w:r w:rsidR="009E0985" w:rsidRPr="009E0985">
        <w:rPr>
          <w:b w:val="0"/>
        </w:rPr>
        <w:t xml:space="preserve">From </w:t>
      </w:r>
      <w:r w:rsidR="00E46D3C">
        <w:rPr>
          <w:b w:val="0"/>
        </w:rPr>
        <w:t xml:space="preserve">the </w:t>
      </w:r>
      <w:r w:rsidR="009E0985" w:rsidRPr="009E0985">
        <w:rPr>
          <w:b w:val="0"/>
        </w:rPr>
        <w:t xml:space="preserve">relative abundance </w:t>
      </w:r>
      <w:r w:rsidR="00E46D3C">
        <w:rPr>
          <w:b w:val="0"/>
        </w:rPr>
        <w:t>data, we construct (1) bootstrap confidence interval around the observed correlation and (2) the null distribution that represent the correlation due to compositionality alone. Contrasting the two distributions through z-test with pooled variance, an appropriate significance level of the observed correlation can be assessed.</w:t>
      </w:r>
    </w:p>
    <w:p w:rsidR="004F640C" w:rsidRDefault="004F640C" w:rsidP="004F640C">
      <w:pPr>
        <w:pStyle w:val="Heading4"/>
      </w:pPr>
      <w:r>
        <w:t>Intuition</w:t>
      </w:r>
    </w:p>
    <w:p w:rsidR="004F640C" w:rsidRPr="00003964" w:rsidRDefault="004F640C" w:rsidP="004F640C">
      <w:pPr>
        <w:jc w:val="both"/>
      </w:pPr>
      <w:r>
        <w:t>The bootstrap distribution represents the confidence interval around the observed correlation</w:t>
      </w:r>
      <w:r w:rsidR="00F67AB9">
        <w:t>, which will be wider for less abundant organisms due to lower signal-to-noise ratios.</w:t>
      </w:r>
      <w:r>
        <w:t xml:space="preserve"> </w:t>
      </w:r>
      <w:r w:rsidR="00F67AB9">
        <w:t>T</w:t>
      </w:r>
      <w:r>
        <w:t>he permutation-renormalization null distribution represents correlation due solely to the compositional effect</w:t>
      </w:r>
      <w:r w:rsidR="00472958">
        <w:t xml:space="preserve"> (see the detailed </w:t>
      </w:r>
      <w:r w:rsidR="00FA6F72">
        <w:t>explanation</w:t>
      </w:r>
      <w:r w:rsidR="00472958">
        <w:t xml:space="preserve"> below)</w:t>
      </w:r>
      <w:r>
        <w:t xml:space="preserve">. The significance of associations over and above </w:t>
      </w:r>
      <w:r w:rsidR="00F67AB9">
        <w:t xml:space="preserve">those expected from </w:t>
      </w:r>
      <w:r>
        <w:t xml:space="preserve">compositionality </w:t>
      </w:r>
      <w:r w:rsidR="00F67AB9">
        <w:t xml:space="preserve">alone </w:t>
      </w:r>
      <w:r>
        <w:t xml:space="preserve">can thus be evaluated by comparing these two distributions. The null hypothesis to be tested is that the two distributions have the same mean, making z-test </w:t>
      </w:r>
      <w:r w:rsidR="0014701D">
        <w:t xml:space="preserve">an </w:t>
      </w:r>
      <w:r>
        <w:t>appropriate</w:t>
      </w:r>
      <w:r w:rsidR="0014701D">
        <w:t xml:space="preserve"> comparison</w:t>
      </w:r>
      <w:r w:rsidR="00FA0613">
        <w:t>.</w:t>
      </w:r>
      <w:r>
        <w:t xml:space="preserve"> </w:t>
      </w:r>
      <w:r w:rsidR="00FA0613">
        <w:t>T</w:t>
      </w:r>
      <w:r>
        <w:t xml:space="preserve">he variance pooled </w:t>
      </w:r>
      <w:r w:rsidR="00FA0613">
        <w:t xml:space="preserve">with equal weight </w:t>
      </w:r>
      <w:r>
        <w:t xml:space="preserve">from both distributions </w:t>
      </w:r>
      <w:r w:rsidR="00FA0613">
        <w:t>provides an</w:t>
      </w:r>
      <w:r>
        <w:t xml:space="preserve"> unbiased least square</w:t>
      </w:r>
      <w:r w:rsidR="006602E3">
        <w:t>s</w:t>
      </w:r>
      <w:r>
        <w:t xml:space="preserve"> estimate.</w:t>
      </w:r>
    </w:p>
    <w:p w:rsidR="00000000" w:rsidRDefault="00095C33">
      <w:pPr>
        <w:pStyle w:val="Heading3"/>
      </w:pPr>
      <w:proofErr w:type="spellStart"/>
      <w:r>
        <w:t>ReBoot</w:t>
      </w:r>
      <w:proofErr w:type="spellEnd"/>
      <w:r>
        <w:t xml:space="preserve"> method works well on simulated data</w:t>
      </w:r>
    </w:p>
    <w:p w:rsidR="00D166C3" w:rsidRDefault="00B636C4" w:rsidP="009E755F">
      <w:pPr>
        <w:jc w:val="both"/>
      </w:pPr>
      <w:r>
        <w:t xml:space="preserve">We demonstrated the performance of the </w:t>
      </w:r>
      <w:proofErr w:type="spellStart"/>
      <w:r>
        <w:t>ReBoot</w:t>
      </w:r>
      <w:proofErr w:type="spellEnd"/>
      <w:r>
        <w:t xml:space="preserve"> Method by assessing significance of the correlation in a simulated dataset (described below).</w:t>
      </w:r>
      <w:r w:rsidR="001A2AC6">
        <w:t xml:space="preserve">  The results are shown in Table </w:t>
      </w:r>
      <w:r w:rsidR="00FC7E26">
        <w:t>SM</w:t>
      </w:r>
      <w:r w:rsidR="001A2AC6">
        <w:t>1</w:t>
      </w:r>
      <w:r w:rsidR="00E8335F">
        <w:t xml:space="preserve">, where </w:t>
      </w:r>
      <w:proofErr w:type="spellStart"/>
      <w:r w:rsidR="00E8335F">
        <w:t>pairwise</w:t>
      </w:r>
      <w:proofErr w:type="spellEnd"/>
      <w:r w:rsidR="00E8335F">
        <w:t xml:space="preserve"> correlations and p-values assessed through various methods </w:t>
      </w:r>
      <w:r w:rsidR="00EB096E">
        <w:t>were</w:t>
      </w:r>
      <w:r w:rsidR="00E8335F">
        <w:t xml:space="preserve"> compared.</w:t>
      </w:r>
      <w:r w:rsidR="00562F18">
        <w:t xml:space="preserve">  I</w:t>
      </w:r>
      <w:r w:rsidR="00154283">
        <w:t>n the simulation data (</w:t>
      </w:r>
      <w:r w:rsidR="009E0985">
        <w:fldChar w:fldCharType="begin"/>
      </w:r>
      <w:r w:rsidR="00562F18">
        <w:instrText xml:space="preserve"> REF _Ref321960118 \h </w:instrText>
      </w:r>
      <w:r w:rsidR="009E0985">
        <w:fldChar w:fldCharType="separate"/>
      </w:r>
      <w:r w:rsidR="00562F18">
        <w:t>Figure SM</w:t>
      </w:r>
      <w:r w:rsidR="00562F18">
        <w:rPr>
          <w:noProof/>
        </w:rPr>
        <w:t>4</w:t>
      </w:r>
      <w:r w:rsidR="009E0985">
        <w:fldChar w:fldCharType="end"/>
      </w:r>
      <w:r w:rsidR="00562F18">
        <w:t>A</w:t>
      </w:r>
      <w:r w:rsidR="00154283">
        <w:t>)</w:t>
      </w:r>
      <w:r w:rsidR="00562F18">
        <w:t xml:space="preserve">, </w:t>
      </w:r>
      <w:r w:rsidR="00753848">
        <w:t>b1 increase</w:t>
      </w:r>
      <w:r w:rsidR="0038011E">
        <w:t>d</w:t>
      </w:r>
      <w:r w:rsidR="00753848">
        <w:t xml:space="preserve"> linearly while b2 remain</w:t>
      </w:r>
      <w:r w:rsidR="0038011E">
        <w:t>ed</w:t>
      </w:r>
      <w:r w:rsidR="00753848">
        <w:t xml:space="preserve"> constant in all samples; b3 </w:t>
      </w:r>
      <w:r w:rsidR="00BA2D66">
        <w:t xml:space="preserve">also </w:t>
      </w:r>
      <w:r w:rsidR="00753848">
        <w:t>decrease</w:t>
      </w:r>
      <w:r w:rsidR="0038011E">
        <w:t>d</w:t>
      </w:r>
      <w:r w:rsidR="00753848">
        <w:t xml:space="preserve"> </w:t>
      </w:r>
      <w:r w:rsidR="00BA2D66">
        <w:t>linearly</w:t>
      </w:r>
      <w:r w:rsidR="00753848">
        <w:t xml:space="preserve"> while b4 remain</w:t>
      </w:r>
      <w:r w:rsidR="0038011E">
        <w:t>ed</w:t>
      </w:r>
      <w:r w:rsidR="00753848">
        <w:t xml:space="preserve"> constant</w:t>
      </w:r>
      <w:r w:rsidR="00BA2D66">
        <w:t xml:space="preserve"> at a lower abundance</w:t>
      </w:r>
      <w:r w:rsidR="009C2DA2">
        <w:t xml:space="preserve">; 16 other low-abundance microbes </w:t>
      </w:r>
      <w:r w:rsidR="0038011E">
        <w:t>were</w:t>
      </w:r>
      <w:r w:rsidR="00B43D6E">
        <w:t xml:space="preserve"> </w:t>
      </w:r>
      <w:r w:rsidR="009C2DA2">
        <w:t xml:space="preserve">also present at </w:t>
      </w:r>
      <w:r w:rsidR="00B43D6E">
        <w:t xml:space="preserve">a </w:t>
      </w:r>
      <w:r w:rsidR="009C2DA2">
        <w:t>constant abundance</w:t>
      </w:r>
      <w:r w:rsidR="00753848">
        <w:t xml:space="preserve">.  The </w:t>
      </w:r>
      <w:r w:rsidR="007E7337">
        <w:t xml:space="preserve">all </w:t>
      </w:r>
      <w:r w:rsidR="00753848">
        <w:t>microbes ha</w:t>
      </w:r>
      <w:r w:rsidR="0038011E">
        <w:t>d</w:t>
      </w:r>
      <w:r w:rsidR="00753848">
        <w:t xml:space="preserve"> low abundances and </w:t>
      </w:r>
      <w:r w:rsidR="0038011E">
        <w:t>were</w:t>
      </w:r>
      <w:r w:rsidR="00753848">
        <w:t xml:space="preserve"> affected strongly by the noise.</w:t>
      </w:r>
      <w:r w:rsidR="00A36F79">
        <w:t xml:space="preserve">  The correlation and the permutation test p-values estimated from the absolute abundances </w:t>
      </w:r>
      <w:r w:rsidR="0038011E">
        <w:t>were</w:t>
      </w:r>
      <w:r w:rsidR="00753848">
        <w:t xml:space="preserve"> the expected values and </w:t>
      </w:r>
      <w:r w:rsidR="0038011E">
        <w:t>were</w:t>
      </w:r>
      <w:r w:rsidR="00753848">
        <w:t xml:space="preserve"> treated as</w:t>
      </w:r>
      <w:r w:rsidR="00A36F79">
        <w:t xml:space="preserve"> the gold standard</w:t>
      </w:r>
      <w:r w:rsidR="00B46FB0">
        <w:t xml:space="preserve"> against which we compare</w:t>
      </w:r>
      <w:r w:rsidR="00BA2D66">
        <w:t>d</w:t>
      </w:r>
      <w:r w:rsidR="00B46FB0">
        <w:t xml:space="preserve"> our results</w:t>
      </w:r>
      <w:r w:rsidR="00A36F79">
        <w:t xml:space="preserve">.  </w:t>
      </w:r>
    </w:p>
    <w:p w:rsidR="00A36F79" w:rsidRDefault="005A42C6" w:rsidP="009E755F">
      <w:pPr>
        <w:jc w:val="both"/>
      </w:pPr>
      <w:proofErr w:type="spellStart"/>
      <w:r>
        <w:t>P</w:t>
      </w:r>
      <w:r w:rsidR="00B46FB0">
        <w:t>airwise</w:t>
      </w:r>
      <w:proofErr w:type="spellEnd"/>
      <w:r w:rsidR="00B46FB0">
        <w:t xml:space="preserve"> Pearson correlations calculated from the relative abundances</w:t>
      </w:r>
      <w:r w:rsidR="00A734C8">
        <w:t xml:space="preserve"> of b1-b2 and b2-b4 pairs</w:t>
      </w:r>
      <w:r w:rsidR="00B46FB0">
        <w:t xml:space="preserve"> differ</w:t>
      </w:r>
      <w:r w:rsidR="00245BB7">
        <w:t>ed</w:t>
      </w:r>
      <w:r w:rsidR="00A734C8">
        <w:t xml:space="preserve"> substantially </w:t>
      </w:r>
      <w:r w:rsidR="00B46FB0">
        <w:t>from the true correlation</w:t>
      </w:r>
      <w:r w:rsidR="0069066F">
        <w:t>s</w:t>
      </w:r>
      <w:r>
        <w:t xml:space="preserve"> (Table SM1)</w:t>
      </w:r>
      <w:r w:rsidR="002E0150">
        <w:t xml:space="preserve"> due to</w:t>
      </w:r>
      <w:r w:rsidR="00B46FB0">
        <w:t xml:space="preserve"> the effect</w:t>
      </w:r>
      <w:r w:rsidR="002E0150">
        <w:t>s</w:t>
      </w:r>
      <w:r w:rsidR="00B46FB0">
        <w:t xml:space="preserve"> of compositionality</w:t>
      </w:r>
      <w:r w:rsidR="002E0150">
        <w:t xml:space="preserve"> as expected</w:t>
      </w:r>
      <w:r w:rsidR="00B46FB0">
        <w:t>.</w:t>
      </w:r>
      <w:r w:rsidR="0069066F">
        <w:t xml:space="preserve">  The p-values estimated by </w:t>
      </w:r>
      <w:r w:rsidR="00A734C8">
        <w:t xml:space="preserve">a </w:t>
      </w:r>
      <w:r w:rsidR="0069066F">
        <w:t>simple permutation test on the relative abundance data overstate</w:t>
      </w:r>
      <w:r w:rsidR="00245BB7">
        <w:t>d</w:t>
      </w:r>
      <w:r w:rsidR="0069066F">
        <w:t xml:space="preserve"> the significance</w:t>
      </w:r>
      <w:r w:rsidR="00C1675B">
        <w:t xml:space="preserve"> of the </w:t>
      </w:r>
      <w:r w:rsidR="006C739E">
        <w:t xml:space="preserve">b1-b2 and b2-b4 </w:t>
      </w:r>
      <w:r w:rsidR="00C1675B">
        <w:t>correlation</w:t>
      </w:r>
      <w:r w:rsidR="006C739E">
        <w:t>s</w:t>
      </w:r>
      <w:r w:rsidR="00A734C8">
        <w:t xml:space="preserve"> but maintain</w:t>
      </w:r>
      <w:r w:rsidR="005449F6">
        <w:t>ed</w:t>
      </w:r>
      <w:r w:rsidR="00A734C8">
        <w:t xml:space="preserve"> the true significance of the b1-b3 pair</w:t>
      </w:r>
      <w:r w:rsidR="0069066F">
        <w:t>.</w:t>
      </w:r>
      <w:r w:rsidR="00562F18">
        <w:t xml:space="preserve">  Using </w:t>
      </w:r>
      <w:r w:rsidR="000B2158">
        <w:t xml:space="preserve">the </w:t>
      </w:r>
      <w:r w:rsidR="00562F18">
        <w:t xml:space="preserve">permutation-renormalization null distribution (without the bootstrap distribution) </w:t>
      </w:r>
      <w:r w:rsidR="00245BB7">
        <w:t>improved</w:t>
      </w:r>
      <w:r w:rsidR="00562F18">
        <w:t xml:space="preserve"> the p-value estimates</w:t>
      </w:r>
      <w:r w:rsidR="008C16DE">
        <w:t xml:space="preserve"> of b1-b2</w:t>
      </w:r>
      <w:r w:rsidR="0026097B">
        <w:t>, but the significance</w:t>
      </w:r>
      <w:r w:rsidR="00245BB7">
        <w:t xml:space="preserve"> level</w:t>
      </w:r>
      <w:r w:rsidR="0026097B">
        <w:t xml:space="preserve"> of b</w:t>
      </w:r>
      <w:r w:rsidR="006C739E">
        <w:t>2-b4</w:t>
      </w:r>
      <w:r w:rsidR="0026097B">
        <w:t xml:space="preserve"> </w:t>
      </w:r>
      <w:r w:rsidR="00245BB7">
        <w:t>correlation w</w:t>
      </w:r>
      <w:r w:rsidR="006C739E">
        <w:t>as</w:t>
      </w:r>
      <w:r w:rsidR="0026097B">
        <w:t xml:space="preserve"> still over</w:t>
      </w:r>
      <w:r w:rsidR="00C33339">
        <w:t>stated</w:t>
      </w:r>
      <w:r w:rsidR="0026097B">
        <w:t>.</w:t>
      </w:r>
      <w:r w:rsidR="00C33339">
        <w:t xml:space="preserve">  </w:t>
      </w:r>
      <w:r w:rsidR="00245BB7">
        <w:t xml:space="preserve">Finally, when the bootstrap distribution was introduced, the p-values of </w:t>
      </w:r>
      <w:r w:rsidR="006C739E">
        <w:t>b1-b2</w:t>
      </w:r>
      <w:r w:rsidR="00245BB7">
        <w:t xml:space="preserve"> and b</w:t>
      </w:r>
      <w:r w:rsidR="006C739E">
        <w:t>2</w:t>
      </w:r>
      <w:r w:rsidR="00245BB7">
        <w:t>-b4</w:t>
      </w:r>
      <w:r w:rsidR="005F2C9F">
        <w:t xml:space="preserve"> were</w:t>
      </w:r>
      <w:r w:rsidR="00245BB7">
        <w:t xml:space="preserve"> </w:t>
      </w:r>
      <w:r w:rsidR="00AD3BD7">
        <w:t>no longer significant</w:t>
      </w:r>
      <w:r w:rsidR="00551BE9">
        <w:t xml:space="preserve">, matching the expectation and the </w:t>
      </w:r>
      <w:r w:rsidR="000B2158">
        <w:t xml:space="preserve">synthetic data's </w:t>
      </w:r>
      <w:r w:rsidR="00551BE9">
        <w:t>gold standard</w:t>
      </w:r>
      <w:r w:rsidR="00245BB7">
        <w:t>.</w:t>
      </w:r>
      <w:r w:rsidR="003D025D">
        <w:t xml:space="preserve"> </w:t>
      </w:r>
    </w:p>
    <w:p w:rsidR="002D09C9" w:rsidRDefault="009E0985" w:rsidP="009E755F">
      <w:pPr>
        <w:jc w:val="both"/>
      </w:pPr>
      <w:r w:rsidRPr="009E0985">
        <w:rPr>
          <w:b/>
          <w:bCs/>
          <w:position w:val="420"/>
          <w:szCs w:val="22"/>
        </w:rPr>
        <w:t>A</w:t>
      </w:r>
      <w:r w:rsidR="00F62AC9">
        <w:rPr>
          <w:noProof/>
          <w:lang w:eastAsia="en-US" w:bidi="ar-SA"/>
        </w:rPr>
        <w:drawing>
          <wp:inline distT="0" distB="0" distL="0" distR="0">
            <wp:extent cx="2847975" cy="28437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8296" cy="2844050"/>
                    </a:xfrm>
                    <a:prstGeom prst="rect">
                      <a:avLst/>
                    </a:prstGeom>
                    <a:noFill/>
                    <a:ln>
                      <a:noFill/>
                    </a:ln>
                  </pic:spPr>
                </pic:pic>
              </a:graphicData>
            </a:graphic>
          </wp:inline>
        </w:drawing>
      </w:r>
      <w:r w:rsidRPr="009E0985">
        <w:rPr>
          <w:b/>
          <w:bCs/>
          <w:position w:val="420"/>
          <w:szCs w:val="22"/>
        </w:rPr>
        <w:t>B</w:t>
      </w:r>
      <w:r w:rsidR="002D09C9" w:rsidRPr="002D09C9">
        <w:t xml:space="preserve"> </w:t>
      </w:r>
      <w:r w:rsidR="00F62AC9">
        <w:rPr>
          <w:noProof/>
          <w:lang w:eastAsia="en-US" w:bidi="ar-SA"/>
        </w:rPr>
        <w:drawing>
          <wp:inline distT="0" distB="0" distL="0" distR="0">
            <wp:extent cx="2867025" cy="28627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1627" cy="2867347"/>
                    </a:xfrm>
                    <a:prstGeom prst="rect">
                      <a:avLst/>
                    </a:prstGeom>
                    <a:noFill/>
                    <a:ln>
                      <a:noFill/>
                    </a:ln>
                  </pic:spPr>
                </pic:pic>
              </a:graphicData>
            </a:graphic>
          </wp:inline>
        </w:drawing>
      </w:r>
    </w:p>
    <w:p w:rsidR="00000000" w:rsidRDefault="009E0985">
      <w:pPr>
        <w:keepNext/>
        <w:jc w:val="both"/>
      </w:pPr>
      <w:r w:rsidRPr="009E0985">
        <w:rPr>
          <w:b/>
          <w:noProof/>
        </w:rPr>
        <w:pict>
          <v:group id="_x0000_s1060" style="position:absolute;left:0;text-align:left;margin-left:2.8pt;margin-top:103.3pt;width:72.95pt;height:18.4pt;z-index:251682816" coordorigin="3709,10005" coordsize="1459,368">
            <v:shapetype id="_x0000_t202" coordsize="21600,21600" o:spt="202" path="m0,0l0,21600,21600,21600,21600,0xe">
              <v:stroke joinstyle="miter"/>
              <v:path gradientshapeok="t" o:connecttype="rect"/>
            </v:shapetype>
            <v:shape id="_x0000_s1061" type="#_x0000_t202" style="position:absolute;left:3709;top:10005;width:1459;height:368;mso-width-relative:margin;mso-height-relative:margin">
              <v:textbox style="mso-next-textbox:#_x0000_s1061">
                <w:txbxContent>
                  <w:p w:rsidR="00F436F2" w:rsidRPr="005F7A1B" w:rsidRDefault="00F436F2" w:rsidP="00207970">
                    <w:pPr>
                      <w:rPr>
                        <w:sz w:val="8"/>
                        <w:szCs w:val="8"/>
                      </w:rPr>
                    </w:pPr>
                    <w:r>
                      <w:rPr>
                        <w:sz w:val="8"/>
                        <w:szCs w:val="8"/>
                      </w:rPr>
                      <w:t xml:space="preserve">                              </w:t>
                    </w:r>
                    <w:r w:rsidR="009E0985" w:rsidRPr="009E0985">
                      <w:rPr>
                        <w:sz w:val="8"/>
                        <w:szCs w:val="8"/>
                      </w:rPr>
                      <w:t>Bootstrap</w:t>
                    </w:r>
                    <w:r w:rsidR="009E0985" w:rsidRPr="009E0985">
                      <w:rPr>
                        <w:sz w:val="8"/>
                        <w:szCs w:val="8"/>
                      </w:rPr>
                      <w:br/>
                    </w:r>
                    <w:r>
                      <w:rPr>
                        <w:sz w:val="8"/>
                        <w:szCs w:val="8"/>
                      </w:rPr>
                      <w:t xml:space="preserve">                              </w:t>
                    </w:r>
                    <w:proofErr w:type="spellStart"/>
                    <w:r w:rsidR="009E0985" w:rsidRPr="009E0985">
                      <w:rPr>
                        <w:sz w:val="8"/>
                        <w:szCs w:val="8"/>
                      </w:rPr>
                      <w:t>Permute+Renorm</w:t>
                    </w:r>
                    <w:proofErr w:type="spellEnd"/>
                  </w:p>
                </w:txbxContent>
              </v:textbox>
            </v:shape>
            <v:shapetype id="_x0000_t32" coordsize="21600,21600" o:spt="32" o:oned="t" path="m0,0l21600,21600e" filled="f">
              <v:path arrowok="t" fillok="f" o:connecttype="none"/>
              <o:lock v:ext="edit" shapetype="t"/>
            </v:shapetype>
            <v:shape id="_x0000_s1062" type="#_x0000_t32" style="position:absolute;left:3923;top:10149;width:360;height:0" o:connectortype="straight" strokecolor="#17365d [2415]"/>
            <v:shape id="_x0000_s1063" type="#_x0000_t32" style="position:absolute;left:3923;top:10253;width:360;height:0" o:connectortype="straight" strokecolor="red"/>
          </v:group>
        </w:pict>
      </w:r>
      <w:r w:rsidRPr="009E0985">
        <w:rPr>
          <w:b/>
        </w:rPr>
        <w:t>C</w:t>
      </w:r>
      <w:r w:rsidR="00F62AC9">
        <w:rPr>
          <w:noProof/>
          <w:lang w:eastAsia="en-US" w:bidi="ar-SA"/>
        </w:rPr>
        <w:drawing>
          <wp:inline distT="0" distB="0" distL="0" distR="0">
            <wp:extent cx="5943600" cy="297180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h sathirapongsasut\Dropbox\HMP_Relationships\supplement\Supplement Method\SM2ReBoot.png"/>
                    <pic:cNvPicPr>
                      <a:picLocks noChangeAspect="1" noChangeArrowheads="1"/>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000000" w:rsidRDefault="008559AA">
      <w:pPr>
        <w:pStyle w:val="Caption"/>
        <w:jc w:val="both"/>
      </w:pPr>
      <w:bookmarkStart w:id="10" w:name="_Ref321960118"/>
      <w:r>
        <w:t>Figure SM</w:t>
      </w:r>
      <w:r w:rsidR="009E0985">
        <w:fldChar w:fldCharType="begin"/>
      </w:r>
      <w:r>
        <w:instrText xml:space="preserve"> SEQ Figure_S \* ARABIC </w:instrText>
      </w:r>
      <w:r w:rsidR="009E0985">
        <w:fldChar w:fldCharType="separate"/>
      </w:r>
      <w:r>
        <w:rPr>
          <w:noProof/>
        </w:rPr>
        <w:t>4</w:t>
      </w:r>
      <w:r w:rsidR="009E0985">
        <w:fldChar w:fldCharType="end"/>
      </w:r>
      <w:bookmarkEnd w:id="10"/>
      <w:r w:rsidR="000540B7">
        <w:t xml:space="preserve"> Combining a renormalized permuted null distribution with a bootstrap confidence interval adjusts the significance of associations between features appropriately according to the </w:t>
      </w:r>
      <w:r w:rsidR="000D18A6">
        <w:t>degree</w:t>
      </w:r>
      <w:r w:rsidR="000540B7">
        <w:t xml:space="preserve"> of compositionality in the data. </w:t>
      </w:r>
      <w:r w:rsidR="00913B96">
        <w:t xml:space="preserve"> </w:t>
      </w:r>
      <w:r w:rsidR="000D18A6">
        <w:rPr>
          <w:b w:val="0"/>
        </w:rPr>
        <w:t xml:space="preserve">A synthetic dataset of four simulated microbes was generated as absolute abundances (A) including a </w:t>
      </w:r>
      <w:r w:rsidR="00A22B75">
        <w:rPr>
          <w:b w:val="0"/>
        </w:rPr>
        <w:t xml:space="preserve">single </w:t>
      </w:r>
      <w:r w:rsidR="000D18A6">
        <w:rPr>
          <w:b w:val="0"/>
        </w:rPr>
        <w:t xml:space="preserve">true </w:t>
      </w:r>
      <w:r w:rsidR="00A22B75">
        <w:rPr>
          <w:b w:val="0"/>
        </w:rPr>
        <w:t>negative correlation between b1-b3</w:t>
      </w:r>
      <w:r w:rsidR="00BA5AFF">
        <w:rPr>
          <w:b w:val="0"/>
        </w:rPr>
        <w:t xml:space="preserve"> and </w:t>
      </w:r>
      <w:r w:rsidR="00A22B75">
        <w:rPr>
          <w:b w:val="0"/>
        </w:rPr>
        <w:t>uncorrelated taxa</w:t>
      </w:r>
      <w:r w:rsidR="00BA5AFF">
        <w:rPr>
          <w:b w:val="0"/>
        </w:rPr>
        <w:t xml:space="preserve"> b2</w:t>
      </w:r>
      <w:r w:rsidR="00A22B75">
        <w:rPr>
          <w:b w:val="0"/>
        </w:rPr>
        <w:t xml:space="preserve"> and b4</w:t>
      </w:r>
      <w:r w:rsidR="00BA5AFF">
        <w:rPr>
          <w:b w:val="0"/>
        </w:rPr>
        <w:t>. (B) After normalization to relative abundances, b2</w:t>
      </w:r>
      <w:r w:rsidR="00A22B75">
        <w:rPr>
          <w:b w:val="0"/>
        </w:rPr>
        <w:t xml:space="preserve"> and b4 exhibit</w:t>
      </w:r>
      <w:r w:rsidR="00BA5AFF">
        <w:rPr>
          <w:b w:val="0"/>
        </w:rPr>
        <w:t xml:space="preserve"> spurious correlation mitigated by (C) application of the </w:t>
      </w:r>
      <w:proofErr w:type="spellStart"/>
      <w:r w:rsidR="00BA5AFF">
        <w:rPr>
          <w:b w:val="0"/>
        </w:rPr>
        <w:t>ReBoot</w:t>
      </w:r>
      <w:proofErr w:type="spellEnd"/>
      <w:r w:rsidR="00BA5AFF">
        <w:rPr>
          <w:b w:val="0"/>
        </w:rPr>
        <w:t xml:space="preserve"> procedure to all </w:t>
      </w:r>
      <w:proofErr w:type="spellStart"/>
      <w:r w:rsidR="00BA5AFF">
        <w:rPr>
          <w:b w:val="0"/>
        </w:rPr>
        <w:t>pairwise</w:t>
      </w:r>
      <w:proofErr w:type="spellEnd"/>
      <w:r w:rsidR="00BA5AFF">
        <w:rPr>
          <w:b w:val="0"/>
        </w:rPr>
        <w:t xml:space="preserve"> comparisons. </w:t>
      </w:r>
      <w:r w:rsidR="000540B7">
        <w:rPr>
          <w:b w:val="0"/>
        </w:rPr>
        <w:t>B</w:t>
      </w:r>
      <w:r w:rsidR="000540B7" w:rsidRPr="009E755F">
        <w:rPr>
          <w:b w:val="0"/>
        </w:rPr>
        <w:t xml:space="preserve">lue and red vertical lines represent </w:t>
      </w:r>
      <w:r w:rsidR="000540B7" w:rsidRPr="00A45D65">
        <w:rPr>
          <w:b w:val="0"/>
        </w:rPr>
        <w:t>means</w:t>
      </w:r>
      <w:r w:rsidR="000540B7">
        <w:rPr>
          <w:b w:val="0"/>
        </w:rPr>
        <w:t xml:space="preserve"> of </w:t>
      </w:r>
      <w:r w:rsidR="000540B7" w:rsidRPr="009E755F">
        <w:rPr>
          <w:b w:val="0"/>
        </w:rPr>
        <w:t xml:space="preserve">bootstrapped </w:t>
      </w:r>
      <w:r w:rsidR="000540B7">
        <w:rPr>
          <w:b w:val="0"/>
        </w:rPr>
        <w:t xml:space="preserve">(confidence interval of true association) </w:t>
      </w:r>
      <w:r w:rsidR="000540B7" w:rsidRPr="009E755F">
        <w:rPr>
          <w:b w:val="0"/>
        </w:rPr>
        <w:t>and permut</w:t>
      </w:r>
      <w:r w:rsidR="000540B7">
        <w:rPr>
          <w:b w:val="0"/>
        </w:rPr>
        <w:t>ed</w:t>
      </w:r>
      <w:r w:rsidR="000540B7" w:rsidRPr="009E755F">
        <w:rPr>
          <w:b w:val="0"/>
        </w:rPr>
        <w:t xml:space="preserve"> </w:t>
      </w:r>
      <w:r w:rsidR="000540B7">
        <w:rPr>
          <w:b w:val="0"/>
        </w:rPr>
        <w:t xml:space="preserve">(null distribution of association due to compositionality) distributions, </w:t>
      </w:r>
      <w:r w:rsidR="000540B7" w:rsidRPr="009E755F">
        <w:rPr>
          <w:b w:val="0"/>
        </w:rPr>
        <w:t xml:space="preserve">respectively.  </w:t>
      </w:r>
      <w:r w:rsidR="000540B7">
        <w:rPr>
          <w:b w:val="0"/>
        </w:rPr>
        <w:t>A</w:t>
      </w:r>
      <w:r w:rsidR="000540B7" w:rsidRPr="009E755F">
        <w:rPr>
          <w:b w:val="0"/>
        </w:rPr>
        <w:t xml:space="preserve"> z-test with pooled variance</w:t>
      </w:r>
      <w:r w:rsidR="000540B7">
        <w:rPr>
          <w:b w:val="0"/>
        </w:rPr>
        <w:t xml:space="preserve"> </w:t>
      </w:r>
      <w:r w:rsidR="0038011E">
        <w:rPr>
          <w:b w:val="0"/>
        </w:rPr>
        <w:t>wa</w:t>
      </w:r>
      <w:r w:rsidR="000540B7">
        <w:rPr>
          <w:b w:val="0"/>
        </w:rPr>
        <w:t>s used to compare the means of the two distributions</w:t>
      </w:r>
      <w:r w:rsidR="00A22B75">
        <w:rPr>
          <w:b w:val="0"/>
        </w:rPr>
        <w:t xml:space="preserve">, among which only </w:t>
      </w:r>
      <w:r w:rsidR="000540B7" w:rsidRPr="009E755F">
        <w:rPr>
          <w:b w:val="0"/>
        </w:rPr>
        <w:t xml:space="preserve">the b1-b3 </w:t>
      </w:r>
      <w:r w:rsidR="00A22B75">
        <w:rPr>
          <w:b w:val="0"/>
        </w:rPr>
        <w:t xml:space="preserve">retains significance </w:t>
      </w:r>
      <w:r w:rsidR="00CB19BC">
        <w:rPr>
          <w:b w:val="0"/>
        </w:rPr>
        <w:t>(see Table SM1)</w:t>
      </w:r>
      <w:r w:rsidR="001B7F49">
        <w:rPr>
          <w:b w:val="0"/>
        </w:rPr>
        <w:t>,</w:t>
      </w:r>
      <w:r w:rsidR="0038011E">
        <w:rPr>
          <w:b w:val="0"/>
        </w:rPr>
        <w:t xml:space="preserve"> matching the gold standard</w:t>
      </w:r>
      <w:r w:rsidR="000540B7" w:rsidRPr="009E755F">
        <w:rPr>
          <w:b w:val="0"/>
        </w:rPr>
        <w:t>.</w:t>
      </w:r>
    </w:p>
    <w:p w:rsidR="00000000" w:rsidRDefault="001A2AC6">
      <w:pPr>
        <w:pStyle w:val="Caption"/>
      </w:pPr>
      <w:r>
        <w:t xml:space="preserve">Table </w:t>
      </w:r>
      <w:r w:rsidR="00A45F25">
        <w:t>SM</w:t>
      </w:r>
      <w:r>
        <w:t xml:space="preserve">1 </w:t>
      </w:r>
      <w:r w:rsidR="00D34F7E">
        <w:t>Comparison</w:t>
      </w:r>
      <w:r>
        <w:t xml:space="preserve"> of </w:t>
      </w:r>
      <w:proofErr w:type="spellStart"/>
      <w:r>
        <w:t>ReBoot</w:t>
      </w:r>
      <w:proofErr w:type="spellEnd"/>
      <w:r w:rsidR="00D34F7E">
        <w:t xml:space="preserve"> p-values to </w:t>
      </w:r>
      <w:r w:rsidR="00CA0285">
        <w:t>a synthetic</w:t>
      </w:r>
      <w:r w:rsidR="00D34F7E">
        <w:t xml:space="preserve"> gold standard</w:t>
      </w:r>
    </w:p>
    <w:tbl>
      <w:tblPr>
        <w:tblStyle w:val="LightList1"/>
        <w:tblW w:w="9576" w:type="dxa"/>
        <w:tblLook w:val="04A0"/>
      </w:tblPr>
      <w:tblGrid>
        <w:gridCol w:w="805"/>
        <w:gridCol w:w="1279"/>
        <w:gridCol w:w="1398"/>
        <w:gridCol w:w="1433"/>
        <w:gridCol w:w="1401"/>
        <w:gridCol w:w="1622"/>
        <w:gridCol w:w="1638"/>
      </w:tblGrid>
      <w:tr w:rsidR="00AA322D" w:rsidRPr="00AA322D">
        <w:trPr>
          <w:cnfStyle w:val="100000000000"/>
          <w:trHeight w:val="300"/>
        </w:trPr>
        <w:tc>
          <w:tcPr>
            <w:cnfStyle w:val="001000000000"/>
            <w:tcW w:w="805" w:type="dxa"/>
            <w:noWrap/>
          </w:tcPr>
          <w:p w:rsidR="00AA322D" w:rsidRPr="00AA322D" w:rsidRDefault="00AA322D" w:rsidP="00AA322D">
            <w:pPr>
              <w:rPr>
                <w:rFonts w:ascii="Calibri" w:eastAsia="Times New Roman" w:hAnsi="Calibri" w:cs="Calibri"/>
                <w:szCs w:val="22"/>
              </w:rPr>
            </w:pPr>
          </w:p>
        </w:tc>
        <w:tc>
          <w:tcPr>
            <w:tcW w:w="2677" w:type="dxa"/>
            <w:gridSpan w:val="2"/>
            <w:noWrap/>
          </w:tcPr>
          <w:p w:rsidR="00AA322D" w:rsidRPr="00AA322D" w:rsidRDefault="00AA322D" w:rsidP="00AA322D">
            <w:pPr>
              <w:jc w:val="center"/>
              <w:cnfStyle w:val="100000000000"/>
              <w:rPr>
                <w:rFonts w:ascii="Calibri" w:eastAsia="Times New Roman" w:hAnsi="Calibri" w:cs="Calibri"/>
                <w:szCs w:val="22"/>
              </w:rPr>
            </w:pPr>
            <w:r w:rsidRPr="00AA322D">
              <w:rPr>
                <w:rFonts w:ascii="Calibri" w:eastAsia="Times New Roman" w:hAnsi="Calibri" w:cs="Calibri"/>
                <w:szCs w:val="22"/>
              </w:rPr>
              <w:t>Pearson correlation</w:t>
            </w:r>
          </w:p>
        </w:tc>
        <w:tc>
          <w:tcPr>
            <w:tcW w:w="6094" w:type="dxa"/>
            <w:gridSpan w:val="4"/>
            <w:noWrap/>
          </w:tcPr>
          <w:p w:rsidR="00AA322D" w:rsidRPr="00AA322D" w:rsidRDefault="00AA322D" w:rsidP="00AA322D">
            <w:pPr>
              <w:jc w:val="center"/>
              <w:cnfStyle w:val="100000000000"/>
              <w:rPr>
                <w:rFonts w:ascii="Calibri" w:eastAsia="Times New Roman" w:hAnsi="Calibri" w:cs="Calibri"/>
                <w:szCs w:val="22"/>
              </w:rPr>
            </w:pPr>
            <w:r w:rsidRPr="00AA322D">
              <w:rPr>
                <w:rFonts w:ascii="Calibri" w:eastAsia="Times New Roman" w:hAnsi="Calibri" w:cs="Calibri"/>
                <w:szCs w:val="22"/>
              </w:rPr>
              <w:t>P-value</w:t>
            </w:r>
          </w:p>
        </w:tc>
      </w:tr>
      <w:tr w:rsidR="00AA322D" w:rsidRPr="00AA322D">
        <w:trPr>
          <w:cnfStyle w:val="000000100000"/>
          <w:trHeight w:val="300"/>
        </w:trPr>
        <w:tc>
          <w:tcPr>
            <w:cnfStyle w:val="001000000000"/>
            <w:tcW w:w="805" w:type="dxa"/>
            <w:noWrap/>
          </w:tcPr>
          <w:p w:rsidR="00AA322D" w:rsidRPr="00AA322D" w:rsidRDefault="00AA322D" w:rsidP="00AA322D">
            <w:pPr>
              <w:rPr>
                <w:rFonts w:ascii="Calibri" w:eastAsia="Times New Roman" w:hAnsi="Calibri" w:cs="Calibri"/>
                <w:color w:val="000000"/>
                <w:sz w:val="20"/>
                <w:szCs w:val="20"/>
              </w:rPr>
            </w:pPr>
          </w:p>
        </w:tc>
        <w:tc>
          <w:tcPr>
            <w:tcW w:w="1279" w:type="dxa"/>
            <w:shd w:val="clear" w:color="auto" w:fill="EAF1DD" w:themeFill="accent3" w:themeFillTint="33"/>
            <w:noWrap/>
          </w:tcPr>
          <w:p w:rsidR="00AA322D" w:rsidRPr="00AA322D" w:rsidRDefault="00AA322D" w:rsidP="00AA322D">
            <w:pPr>
              <w:jc w:val="center"/>
              <w:cnfStyle w:val="000000100000"/>
              <w:rPr>
                <w:rFonts w:ascii="Calibri" w:eastAsia="Times New Roman" w:hAnsi="Calibri" w:cs="Calibri"/>
                <w:color w:val="000000"/>
                <w:sz w:val="20"/>
                <w:szCs w:val="20"/>
              </w:rPr>
            </w:pPr>
            <w:r w:rsidRPr="00AA322D">
              <w:rPr>
                <w:rFonts w:ascii="Calibri" w:eastAsia="Times New Roman" w:hAnsi="Calibri" w:cs="Calibri"/>
                <w:color w:val="000000"/>
                <w:sz w:val="20"/>
                <w:szCs w:val="20"/>
              </w:rPr>
              <w:t xml:space="preserve">Absolute abundance </w:t>
            </w:r>
            <w:r w:rsidRPr="00AA322D">
              <w:rPr>
                <w:rFonts w:ascii="Calibri" w:eastAsia="Times New Roman" w:hAnsi="Calibri" w:cs="Calibri"/>
                <w:color w:val="000000"/>
                <w:sz w:val="20"/>
                <w:szCs w:val="20"/>
              </w:rPr>
              <w:br/>
              <w:t>(true corr.)</w:t>
            </w:r>
          </w:p>
        </w:tc>
        <w:tc>
          <w:tcPr>
            <w:tcW w:w="1398" w:type="dxa"/>
            <w:shd w:val="clear" w:color="auto" w:fill="EAF1DD" w:themeFill="accent3" w:themeFillTint="33"/>
            <w:noWrap/>
          </w:tcPr>
          <w:p w:rsidR="00AA322D" w:rsidRPr="00AA322D" w:rsidRDefault="00AA322D" w:rsidP="00AA322D">
            <w:pPr>
              <w:jc w:val="center"/>
              <w:cnfStyle w:val="000000100000"/>
              <w:rPr>
                <w:rFonts w:ascii="Calibri" w:eastAsia="Times New Roman" w:hAnsi="Calibri" w:cs="Calibri"/>
                <w:color w:val="000000"/>
                <w:sz w:val="20"/>
                <w:szCs w:val="20"/>
              </w:rPr>
            </w:pPr>
            <w:r w:rsidRPr="00AA322D">
              <w:rPr>
                <w:rFonts w:ascii="Calibri" w:eastAsia="Times New Roman" w:hAnsi="Calibri" w:cs="Calibri"/>
                <w:color w:val="000000"/>
                <w:sz w:val="20"/>
                <w:szCs w:val="20"/>
              </w:rPr>
              <w:t>Relative abun</w:t>
            </w:r>
            <w:r>
              <w:rPr>
                <w:rFonts w:ascii="Calibri" w:eastAsia="Times New Roman" w:hAnsi="Calibri" w:cs="Calibri"/>
                <w:color w:val="000000"/>
                <w:sz w:val="20"/>
                <w:szCs w:val="20"/>
              </w:rPr>
              <w:t>dance (composition</w:t>
            </w:r>
            <w:r w:rsidRPr="00AA322D">
              <w:rPr>
                <w:rFonts w:ascii="Calibri" w:eastAsia="Times New Roman" w:hAnsi="Calibri" w:cs="Calibri"/>
                <w:color w:val="000000"/>
                <w:sz w:val="20"/>
                <w:szCs w:val="20"/>
              </w:rPr>
              <w:t>)</w:t>
            </w:r>
          </w:p>
        </w:tc>
        <w:tc>
          <w:tcPr>
            <w:tcW w:w="1433" w:type="dxa"/>
            <w:shd w:val="clear" w:color="auto" w:fill="E5DFEC" w:themeFill="accent4" w:themeFillTint="33"/>
            <w:noWrap/>
          </w:tcPr>
          <w:p w:rsidR="00AA322D" w:rsidRPr="00AA322D" w:rsidRDefault="00AA322D" w:rsidP="00AA322D">
            <w:pPr>
              <w:jc w:val="center"/>
              <w:cnfStyle w:val="000000100000"/>
              <w:rPr>
                <w:rFonts w:ascii="Calibri" w:eastAsia="Times New Roman" w:hAnsi="Calibri" w:cs="Calibri"/>
                <w:color w:val="000000"/>
                <w:sz w:val="20"/>
                <w:szCs w:val="20"/>
              </w:rPr>
            </w:pPr>
            <w:r w:rsidRPr="00AA322D">
              <w:rPr>
                <w:rFonts w:ascii="Calibri" w:eastAsia="Times New Roman" w:hAnsi="Calibri" w:cs="Calibri"/>
                <w:color w:val="000000"/>
                <w:sz w:val="20"/>
                <w:szCs w:val="20"/>
              </w:rPr>
              <w:t>Permutation test on the absolute abundance</w:t>
            </w:r>
          </w:p>
        </w:tc>
        <w:tc>
          <w:tcPr>
            <w:tcW w:w="1401" w:type="dxa"/>
            <w:shd w:val="clear" w:color="auto" w:fill="E5DFEC" w:themeFill="accent4" w:themeFillTint="33"/>
            <w:noWrap/>
          </w:tcPr>
          <w:p w:rsidR="00AA322D" w:rsidRPr="00AA322D" w:rsidRDefault="00AA322D" w:rsidP="00AA322D">
            <w:pPr>
              <w:jc w:val="center"/>
              <w:cnfStyle w:val="000000100000"/>
              <w:rPr>
                <w:rFonts w:ascii="Calibri" w:eastAsia="Times New Roman" w:hAnsi="Calibri" w:cs="Calibri"/>
                <w:color w:val="000000"/>
                <w:sz w:val="20"/>
                <w:szCs w:val="20"/>
              </w:rPr>
            </w:pPr>
            <w:r w:rsidRPr="00AA322D">
              <w:rPr>
                <w:rFonts w:ascii="Calibri" w:eastAsia="Times New Roman" w:hAnsi="Calibri" w:cs="Calibri"/>
                <w:color w:val="000000"/>
                <w:sz w:val="20"/>
                <w:szCs w:val="20"/>
              </w:rPr>
              <w:t>Permutation test on the relative abundance</w:t>
            </w:r>
          </w:p>
        </w:tc>
        <w:tc>
          <w:tcPr>
            <w:tcW w:w="1622" w:type="dxa"/>
            <w:shd w:val="clear" w:color="auto" w:fill="E5DFEC" w:themeFill="accent4" w:themeFillTint="33"/>
            <w:noWrap/>
          </w:tcPr>
          <w:p w:rsidR="00AA322D" w:rsidRPr="00AA322D" w:rsidRDefault="00AA322D" w:rsidP="00AA322D">
            <w:pPr>
              <w:jc w:val="center"/>
              <w:cnfStyle w:val="000000100000"/>
              <w:rPr>
                <w:rFonts w:ascii="Calibri" w:eastAsia="Times New Roman" w:hAnsi="Calibri" w:cs="Calibri"/>
                <w:color w:val="000000"/>
                <w:sz w:val="20"/>
                <w:szCs w:val="20"/>
              </w:rPr>
            </w:pPr>
            <w:r w:rsidRPr="00AA322D">
              <w:rPr>
                <w:rFonts w:ascii="Calibri" w:eastAsia="Times New Roman" w:hAnsi="Calibri" w:cs="Calibri"/>
                <w:color w:val="000000"/>
                <w:sz w:val="20"/>
                <w:szCs w:val="20"/>
              </w:rPr>
              <w:t>Permutation-Renormalization</w:t>
            </w:r>
          </w:p>
        </w:tc>
        <w:tc>
          <w:tcPr>
            <w:tcW w:w="1638" w:type="dxa"/>
            <w:shd w:val="clear" w:color="auto" w:fill="E5DFEC" w:themeFill="accent4" w:themeFillTint="33"/>
            <w:noWrap/>
          </w:tcPr>
          <w:p w:rsidR="00AA322D" w:rsidRPr="00AA322D" w:rsidRDefault="00AA322D" w:rsidP="00AA322D">
            <w:pPr>
              <w:jc w:val="center"/>
              <w:cnfStyle w:val="000000100000"/>
              <w:rPr>
                <w:rFonts w:ascii="Calibri" w:eastAsia="Times New Roman" w:hAnsi="Calibri" w:cs="Calibri"/>
                <w:color w:val="000000"/>
                <w:sz w:val="20"/>
                <w:szCs w:val="20"/>
              </w:rPr>
            </w:pPr>
            <w:r w:rsidRPr="00AA322D">
              <w:rPr>
                <w:rFonts w:ascii="Calibri" w:eastAsia="Times New Roman" w:hAnsi="Calibri" w:cs="Calibri"/>
                <w:color w:val="000000"/>
                <w:sz w:val="20"/>
                <w:szCs w:val="20"/>
              </w:rPr>
              <w:t>Permutation-Renormalization and Bootstrap (</w:t>
            </w:r>
            <w:proofErr w:type="spellStart"/>
            <w:r w:rsidRPr="00AA322D">
              <w:rPr>
                <w:rFonts w:ascii="Calibri" w:eastAsia="Times New Roman" w:hAnsi="Calibri" w:cs="Calibri"/>
                <w:color w:val="000000"/>
                <w:sz w:val="20"/>
                <w:szCs w:val="20"/>
              </w:rPr>
              <w:t>ReBoot</w:t>
            </w:r>
            <w:proofErr w:type="spellEnd"/>
            <w:r w:rsidRPr="00AA322D">
              <w:rPr>
                <w:rFonts w:ascii="Calibri" w:eastAsia="Times New Roman" w:hAnsi="Calibri" w:cs="Calibri"/>
                <w:color w:val="000000"/>
                <w:sz w:val="20"/>
                <w:szCs w:val="20"/>
              </w:rPr>
              <w:t>)</w:t>
            </w:r>
          </w:p>
        </w:tc>
      </w:tr>
      <w:tr w:rsidR="00B65C4E" w:rsidRPr="00580C4E">
        <w:trPr>
          <w:trHeight w:val="300"/>
        </w:trPr>
        <w:tc>
          <w:tcPr>
            <w:cnfStyle w:val="001000000000"/>
            <w:tcW w:w="805" w:type="dxa"/>
            <w:noWrap/>
            <w:vAlign w:val="bottom"/>
          </w:tcPr>
          <w:p w:rsidR="00B65C4E" w:rsidRPr="00580C4E" w:rsidRDefault="009E0985" w:rsidP="00AA322D">
            <w:pPr>
              <w:spacing w:after="200" w:line="276" w:lineRule="auto"/>
              <w:rPr>
                <w:rFonts w:ascii="Calibri" w:eastAsia="Times New Roman" w:hAnsi="Calibri" w:cs="Calibri"/>
                <w:i/>
                <w:iCs/>
                <w:color w:val="000000"/>
                <w:szCs w:val="22"/>
              </w:rPr>
            </w:pPr>
            <w:r w:rsidRPr="009E0985">
              <w:rPr>
                <w:rFonts w:ascii="Calibri" w:hAnsi="Calibri" w:cs="Calibri"/>
                <w:i/>
                <w:iCs/>
                <w:color w:val="000000"/>
                <w:szCs w:val="22"/>
              </w:rPr>
              <w:t>b1-b2</w:t>
            </w:r>
          </w:p>
        </w:tc>
        <w:tc>
          <w:tcPr>
            <w:tcW w:w="1279" w:type="dxa"/>
            <w:shd w:val="clear" w:color="auto" w:fill="EAF1DD" w:themeFill="accent3" w:themeFillTint="33"/>
            <w:noWrap/>
            <w:vAlign w:val="bottom"/>
          </w:tcPr>
          <w:p w:rsidR="00B65C4E" w:rsidRPr="00580C4E" w:rsidRDefault="009E0985" w:rsidP="00AA322D">
            <w:pPr>
              <w:spacing w:after="200" w:line="276" w:lineRule="auto"/>
              <w:jc w:val="right"/>
              <w:cnfStyle w:val="000000000000"/>
              <w:rPr>
                <w:rFonts w:ascii="Calibri" w:eastAsia="Times New Roman" w:hAnsi="Calibri" w:cs="Calibri"/>
                <w:i/>
                <w:iCs/>
                <w:color w:val="000000"/>
                <w:szCs w:val="22"/>
              </w:rPr>
            </w:pPr>
            <w:r w:rsidRPr="009E0985">
              <w:rPr>
                <w:rFonts w:ascii="Calibri" w:hAnsi="Calibri" w:cs="Calibri"/>
                <w:i/>
                <w:iCs/>
                <w:color w:val="000000"/>
                <w:szCs w:val="22"/>
              </w:rPr>
              <w:t>-0.00043</w:t>
            </w:r>
          </w:p>
        </w:tc>
        <w:tc>
          <w:tcPr>
            <w:tcW w:w="1398" w:type="dxa"/>
            <w:shd w:val="clear" w:color="auto" w:fill="EAF1DD" w:themeFill="accent3" w:themeFillTint="33"/>
            <w:noWrap/>
            <w:vAlign w:val="bottom"/>
          </w:tcPr>
          <w:p w:rsidR="00B65C4E" w:rsidRPr="00580C4E" w:rsidRDefault="009E0985" w:rsidP="00AA322D">
            <w:pPr>
              <w:spacing w:after="200" w:line="276" w:lineRule="auto"/>
              <w:jc w:val="right"/>
              <w:cnfStyle w:val="000000000000"/>
              <w:rPr>
                <w:rFonts w:ascii="Calibri" w:eastAsia="Times New Roman" w:hAnsi="Calibri" w:cs="Calibri"/>
                <w:i/>
                <w:iCs/>
                <w:color w:val="000000"/>
                <w:szCs w:val="22"/>
              </w:rPr>
            </w:pPr>
            <w:r w:rsidRPr="009E0985">
              <w:rPr>
                <w:rFonts w:ascii="Calibri" w:hAnsi="Calibri" w:cs="Calibri"/>
                <w:i/>
                <w:iCs/>
                <w:color w:val="000000"/>
                <w:szCs w:val="22"/>
              </w:rPr>
              <w:t>-0.11471</w:t>
            </w:r>
          </w:p>
        </w:tc>
        <w:tc>
          <w:tcPr>
            <w:tcW w:w="1433" w:type="dxa"/>
            <w:shd w:val="clear" w:color="auto" w:fill="E5DFEC" w:themeFill="accent4" w:themeFillTint="33"/>
            <w:noWrap/>
            <w:vAlign w:val="bottom"/>
          </w:tcPr>
          <w:p w:rsidR="00B65C4E" w:rsidRPr="00580C4E" w:rsidRDefault="009E0985" w:rsidP="00AA322D">
            <w:pPr>
              <w:spacing w:after="200" w:line="276" w:lineRule="auto"/>
              <w:jc w:val="right"/>
              <w:cnfStyle w:val="000000000000"/>
              <w:rPr>
                <w:rFonts w:ascii="Calibri" w:eastAsia="Times New Roman" w:hAnsi="Calibri" w:cs="Calibri"/>
                <w:i/>
                <w:iCs/>
                <w:color w:val="000000"/>
                <w:szCs w:val="22"/>
              </w:rPr>
            </w:pPr>
            <w:r w:rsidRPr="009E0985">
              <w:rPr>
                <w:rFonts w:ascii="Calibri" w:hAnsi="Calibri" w:cs="Calibri"/>
                <w:i/>
                <w:iCs/>
                <w:color w:val="000000"/>
                <w:szCs w:val="22"/>
              </w:rPr>
              <w:t>0.490</w:t>
            </w:r>
          </w:p>
        </w:tc>
        <w:tc>
          <w:tcPr>
            <w:tcW w:w="1401" w:type="dxa"/>
            <w:shd w:val="clear" w:color="auto" w:fill="E5DFEC" w:themeFill="accent4" w:themeFillTint="33"/>
            <w:noWrap/>
            <w:vAlign w:val="bottom"/>
          </w:tcPr>
          <w:p w:rsidR="00B65C4E" w:rsidRPr="00580C4E" w:rsidRDefault="009E0985" w:rsidP="00AA322D">
            <w:pPr>
              <w:spacing w:after="200" w:line="276" w:lineRule="auto"/>
              <w:jc w:val="right"/>
              <w:cnfStyle w:val="000000000000"/>
              <w:rPr>
                <w:rFonts w:ascii="Calibri" w:eastAsia="Times New Roman" w:hAnsi="Calibri" w:cs="Calibri"/>
                <w:i/>
                <w:iCs/>
                <w:color w:val="000000"/>
                <w:szCs w:val="22"/>
              </w:rPr>
            </w:pPr>
            <w:r w:rsidRPr="009E0985">
              <w:rPr>
                <w:rFonts w:ascii="Calibri" w:hAnsi="Calibri" w:cs="Calibri"/>
                <w:i/>
                <w:iCs/>
                <w:color w:val="000000"/>
                <w:szCs w:val="22"/>
              </w:rPr>
              <w:t>0.039</w:t>
            </w:r>
          </w:p>
        </w:tc>
        <w:tc>
          <w:tcPr>
            <w:tcW w:w="1622" w:type="dxa"/>
            <w:shd w:val="clear" w:color="auto" w:fill="E5DFEC" w:themeFill="accent4" w:themeFillTint="33"/>
            <w:noWrap/>
            <w:vAlign w:val="bottom"/>
          </w:tcPr>
          <w:p w:rsidR="00B65C4E" w:rsidRPr="00580C4E" w:rsidRDefault="009E0985" w:rsidP="00AA322D">
            <w:pPr>
              <w:spacing w:after="200" w:line="276" w:lineRule="auto"/>
              <w:jc w:val="right"/>
              <w:cnfStyle w:val="000000000000"/>
              <w:rPr>
                <w:rFonts w:ascii="Calibri" w:eastAsia="Times New Roman" w:hAnsi="Calibri" w:cs="Calibri"/>
                <w:i/>
                <w:iCs/>
                <w:color w:val="000000"/>
                <w:szCs w:val="22"/>
              </w:rPr>
            </w:pPr>
            <w:r w:rsidRPr="009E0985">
              <w:rPr>
                <w:rFonts w:ascii="Calibri" w:hAnsi="Calibri" w:cs="Calibri"/>
                <w:i/>
                <w:iCs/>
                <w:color w:val="000000"/>
                <w:szCs w:val="22"/>
              </w:rPr>
              <w:t>0.067</w:t>
            </w:r>
          </w:p>
        </w:tc>
        <w:tc>
          <w:tcPr>
            <w:tcW w:w="1638" w:type="dxa"/>
            <w:shd w:val="clear" w:color="auto" w:fill="E5DFEC" w:themeFill="accent4" w:themeFillTint="33"/>
            <w:noWrap/>
            <w:vAlign w:val="bottom"/>
          </w:tcPr>
          <w:p w:rsidR="00B65C4E" w:rsidRPr="00580C4E" w:rsidRDefault="009E0985" w:rsidP="00AA322D">
            <w:pPr>
              <w:spacing w:after="200" w:line="276" w:lineRule="auto"/>
              <w:jc w:val="right"/>
              <w:cnfStyle w:val="000000000000"/>
              <w:rPr>
                <w:rFonts w:ascii="Calibri" w:eastAsia="Times New Roman" w:hAnsi="Calibri" w:cs="Calibri"/>
                <w:i/>
                <w:iCs/>
                <w:color w:val="000000"/>
                <w:szCs w:val="22"/>
              </w:rPr>
            </w:pPr>
            <w:r w:rsidRPr="009E0985">
              <w:rPr>
                <w:rFonts w:ascii="Calibri" w:hAnsi="Calibri" w:cs="Calibri"/>
                <w:i/>
                <w:iCs/>
                <w:color w:val="000000"/>
                <w:szCs w:val="22"/>
              </w:rPr>
              <w:t>0.114</w:t>
            </w:r>
          </w:p>
        </w:tc>
      </w:tr>
      <w:tr w:rsidR="00B65C4E" w:rsidRPr="00580C4E">
        <w:trPr>
          <w:cnfStyle w:val="000000100000"/>
          <w:trHeight w:val="300"/>
        </w:trPr>
        <w:tc>
          <w:tcPr>
            <w:cnfStyle w:val="001000000000"/>
            <w:tcW w:w="805" w:type="dxa"/>
            <w:noWrap/>
            <w:vAlign w:val="bottom"/>
          </w:tcPr>
          <w:p w:rsidR="00B65C4E" w:rsidRPr="00580C4E" w:rsidRDefault="009E0985" w:rsidP="00AA322D">
            <w:pPr>
              <w:spacing w:after="200" w:line="276" w:lineRule="auto"/>
              <w:rPr>
                <w:rFonts w:ascii="Calibri" w:eastAsia="Times New Roman" w:hAnsi="Calibri" w:cs="Calibri"/>
                <w:i/>
                <w:iCs/>
                <w:color w:val="000000"/>
                <w:szCs w:val="22"/>
              </w:rPr>
            </w:pPr>
            <w:r w:rsidRPr="009E0985">
              <w:rPr>
                <w:rFonts w:ascii="Calibri" w:hAnsi="Calibri" w:cs="Calibri"/>
                <w:i/>
                <w:iCs/>
                <w:color w:val="000000"/>
                <w:szCs w:val="22"/>
              </w:rPr>
              <w:t>b1-b3</w:t>
            </w:r>
          </w:p>
        </w:tc>
        <w:tc>
          <w:tcPr>
            <w:tcW w:w="1279" w:type="dxa"/>
            <w:shd w:val="clear" w:color="auto" w:fill="EAF1DD" w:themeFill="accent3" w:themeFillTint="33"/>
            <w:noWrap/>
            <w:vAlign w:val="bottom"/>
          </w:tcPr>
          <w:p w:rsidR="00B65C4E" w:rsidRPr="00580C4E" w:rsidRDefault="009E0985" w:rsidP="00AA322D">
            <w:pPr>
              <w:spacing w:after="200" w:line="276" w:lineRule="auto"/>
              <w:jc w:val="right"/>
              <w:cnfStyle w:val="000000100000"/>
              <w:rPr>
                <w:rFonts w:ascii="Calibri" w:eastAsia="Times New Roman" w:hAnsi="Calibri" w:cs="Calibri"/>
                <w:i/>
                <w:iCs/>
                <w:color w:val="000000"/>
                <w:szCs w:val="22"/>
              </w:rPr>
            </w:pPr>
            <w:r w:rsidRPr="009E0985">
              <w:rPr>
                <w:rFonts w:ascii="Calibri" w:hAnsi="Calibri" w:cs="Calibri"/>
                <w:i/>
                <w:iCs/>
                <w:color w:val="000000"/>
                <w:szCs w:val="22"/>
              </w:rPr>
              <w:t>-0.37481</w:t>
            </w:r>
          </w:p>
        </w:tc>
        <w:tc>
          <w:tcPr>
            <w:tcW w:w="1398" w:type="dxa"/>
            <w:shd w:val="clear" w:color="auto" w:fill="EAF1DD" w:themeFill="accent3" w:themeFillTint="33"/>
            <w:noWrap/>
            <w:vAlign w:val="bottom"/>
          </w:tcPr>
          <w:p w:rsidR="00B65C4E" w:rsidRPr="00580C4E" w:rsidRDefault="009E0985" w:rsidP="00AA322D">
            <w:pPr>
              <w:spacing w:after="200" w:line="276" w:lineRule="auto"/>
              <w:jc w:val="right"/>
              <w:cnfStyle w:val="000000100000"/>
              <w:rPr>
                <w:rFonts w:ascii="Calibri" w:eastAsia="Times New Roman" w:hAnsi="Calibri" w:cs="Calibri"/>
                <w:i/>
                <w:iCs/>
                <w:color w:val="000000"/>
                <w:szCs w:val="22"/>
              </w:rPr>
            </w:pPr>
            <w:r w:rsidRPr="009E0985">
              <w:rPr>
                <w:rFonts w:ascii="Calibri" w:hAnsi="Calibri" w:cs="Calibri"/>
                <w:i/>
                <w:iCs/>
                <w:color w:val="000000"/>
                <w:szCs w:val="22"/>
              </w:rPr>
              <w:t>-0.45163</w:t>
            </w:r>
          </w:p>
        </w:tc>
        <w:tc>
          <w:tcPr>
            <w:tcW w:w="1433" w:type="dxa"/>
            <w:shd w:val="clear" w:color="auto" w:fill="E5DFEC" w:themeFill="accent4" w:themeFillTint="33"/>
            <w:noWrap/>
            <w:vAlign w:val="bottom"/>
          </w:tcPr>
          <w:p w:rsidR="00B65C4E" w:rsidRPr="00580C4E" w:rsidRDefault="009E0985" w:rsidP="00AA322D">
            <w:pPr>
              <w:spacing w:after="200" w:line="276" w:lineRule="auto"/>
              <w:jc w:val="right"/>
              <w:cnfStyle w:val="000000100000"/>
              <w:rPr>
                <w:rFonts w:ascii="Calibri" w:eastAsia="Times New Roman" w:hAnsi="Calibri" w:cs="Calibri"/>
                <w:i/>
                <w:iCs/>
                <w:color w:val="000000"/>
                <w:szCs w:val="22"/>
              </w:rPr>
            </w:pPr>
            <w:r w:rsidRPr="009E0985">
              <w:rPr>
                <w:rFonts w:ascii="Calibri" w:hAnsi="Calibri" w:cs="Calibri"/>
                <w:i/>
                <w:iCs/>
                <w:color w:val="000000"/>
                <w:szCs w:val="22"/>
              </w:rPr>
              <w:t>0.000</w:t>
            </w:r>
          </w:p>
        </w:tc>
        <w:tc>
          <w:tcPr>
            <w:tcW w:w="1401" w:type="dxa"/>
            <w:shd w:val="clear" w:color="auto" w:fill="E5DFEC" w:themeFill="accent4" w:themeFillTint="33"/>
            <w:noWrap/>
            <w:vAlign w:val="bottom"/>
          </w:tcPr>
          <w:p w:rsidR="00B65C4E" w:rsidRPr="00580C4E" w:rsidRDefault="009E0985" w:rsidP="00AA322D">
            <w:pPr>
              <w:spacing w:after="200" w:line="276" w:lineRule="auto"/>
              <w:jc w:val="right"/>
              <w:cnfStyle w:val="000000100000"/>
              <w:rPr>
                <w:rFonts w:ascii="Calibri" w:eastAsia="Times New Roman" w:hAnsi="Calibri" w:cs="Calibri"/>
                <w:i/>
                <w:iCs/>
                <w:color w:val="000000"/>
                <w:szCs w:val="22"/>
              </w:rPr>
            </w:pPr>
            <w:r w:rsidRPr="009E0985">
              <w:rPr>
                <w:rFonts w:ascii="Calibri" w:hAnsi="Calibri" w:cs="Calibri"/>
                <w:i/>
                <w:iCs/>
                <w:color w:val="000000"/>
                <w:szCs w:val="22"/>
              </w:rPr>
              <w:t>0.000</w:t>
            </w:r>
          </w:p>
        </w:tc>
        <w:tc>
          <w:tcPr>
            <w:tcW w:w="1622" w:type="dxa"/>
            <w:shd w:val="clear" w:color="auto" w:fill="E5DFEC" w:themeFill="accent4" w:themeFillTint="33"/>
            <w:noWrap/>
            <w:vAlign w:val="bottom"/>
          </w:tcPr>
          <w:p w:rsidR="00B65C4E" w:rsidRPr="00580C4E" w:rsidRDefault="009E0985" w:rsidP="00AA322D">
            <w:pPr>
              <w:spacing w:after="200" w:line="276" w:lineRule="auto"/>
              <w:jc w:val="right"/>
              <w:cnfStyle w:val="000000100000"/>
              <w:rPr>
                <w:rFonts w:ascii="Calibri" w:eastAsia="Times New Roman" w:hAnsi="Calibri" w:cs="Calibri"/>
                <w:i/>
                <w:iCs/>
                <w:color w:val="000000"/>
                <w:szCs w:val="22"/>
              </w:rPr>
            </w:pPr>
            <w:r w:rsidRPr="009E0985">
              <w:rPr>
                <w:rFonts w:ascii="Calibri" w:hAnsi="Calibri" w:cs="Calibri"/>
                <w:i/>
                <w:iCs/>
                <w:color w:val="000000"/>
                <w:szCs w:val="22"/>
              </w:rPr>
              <w:t>6.69E-14</w:t>
            </w:r>
          </w:p>
        </w:tc>
        <w:tc>
          <w:tcPr>
            <w:tcW w:w="1638" w:type="dxa"/>
            <w:shd w:val="clear" w:color="auto" w:fill="E5DFEC" w:themeFill="accent4" w:themeFillTint="33"/>
            <w:noWrap/>
            <w:vAlign w:val="bottom"/>
          </w:tcPr>
          <w:p w:rsidR="00B65C4E" w:rsidRPr="00580C4E" w:rsidRDefault="009E0985" w:rsidP="00AA322D">
            <w:pPr>
              <w:spacing w:after="200" w:line="276" w:lineRule="auto"/>
              <w:jc w:val="right"/>
              <w:cnfStyle w:val="000000100000"/>
              <w:rPr>
                <w:rFonts w:ascii="Calibri" w:eastAsia="Times New Roman" w:hAnsi="Calibri" w:cs="Calibri"/>
                <w:i/>
                <w:iCs/>
                <w:color w:val="000000"/>
                <w:szCs w:val="22"/>
              </w:rPr>
            </w:pPr>
            <w:r w:rsidRPr="009E0985">
              <w:rPr>
                <w:rFonts w:ascii="Calibri" w:hAnsi="Calibri" w:cs="Calibri"/>
                <w:i/>
                <w:iCs/>
                <w:color w:val="000000"/>
                <w:szCs w:val="22"/>
              </w:rPr>
              <w:t>1.34E-13</w:t>
            </w:r>
          </w:p>
        </w:tc>
      </w:tr>
      <w:tr w:rsidR="00B65C4E" w:rsidRPr="00AA322D">
        <w:trPr>
          <w:trHeight w:val="300"/>
        </w:trPr>
        <w:tc>
          <w:tcPr>
            <w:cnfStyle w:val="001000000000"/>
            <w:tcW w:w="805" w:type="dxa"/>
            <w:noWrap/>
            <w:vAlign w:val="bottom"/>
          </w:tcPr>
          <w:p w:rsidR="00B65C4E" w:rsidRPr="00AA322D" w:rsidRDefault="00B65C4E" w:rsidP="00AA322D">
            <w:pPr>
              <w:rPr>
                <w:rFonts w:ascii="Calibri" w:eastAsia="Times New Roman" w:hAnsi="Calibri" w:cs="Calibri"/>
                <w:color w:val="000000"/>
                <w:szCs w:val="22"/>
              </w:rPr>
            </w:pPr>
            <w:r>
              <w:rPr>
                <w:rFonts w:ascii="Calibri" w:hAnsi="Calibri" w:cs="Calibri"/>
                <w:color w:val="000000"/>
                <w:szCs w:val="22"/>
              </w:rPr>
              <w:t>b1-b4</w:t>
            </w:r>
          </w:p>
        </w:tc>
        <w:tc>
          <w:tcPr>
            <w:tcW w:w="1279" w:type="dxa"/>
            <w:shd w:val="clear" w:color="auto" w:fill="EAF1DD" w:themeFill="accent3" w:themeFillTint="33"/>
            <w:noWrap/>
            <w:vAlign w:val="bottom"/>
          </w:tcPr>
          <w:p w:rsidR="00B65C4E" w:rsidRPr="00AA322D" w:rsidRDefault="00B65C4E" w:rsidP="00AA322D">
            <w:pPr>
              <w:jc w:val="right"/>
              <w:cnfStyle w:val="000000000000"/>
              <w:rPr>
                <w:rFonts w:ascii="Calibri" w:eastAsia="Times New Roman" w:hAnsi="Calibri" w:cs="Calibri"/>
                <w:color w:val="000000"/>
                <w:szCs w:val="22"/>
              </w:rPr>
            </w:pPr>
            <w:r>
              <w:rPr>
                <w:rFonts w:ascii="Calibri" w:hAnsi="Calibri" w:cs="Calibri"/>
                <w:color w:val="000000"/>
                <w:szCs w:val="22"/>
              </w:rPr>
              <w:t>0.016205</w:t>
            </w:r>
          </w:p>
        </w:tc>
        <w:tc>
          <w:tcPr>
            <w:tcW w:w="1398" w:type="dxa"/>
            <w:shd w:val="clear" w:color="auto" w:fill="EAF1DD" w:themeFill="accent3" w:themeFillTint="33"/>
            <w:noWrap/>
            <w:vAlign w:val="bottom"/>
          </w:tcPr>
          <w:p w:rsidR="00B65C4E" w:rsidRPr="00AA322D" w:rsidRDefault="00B65C4E" w:rsidP="00AA322D">
            <w:pPr>
              <w:jc w:val="right"/>
              <w:cnfStyle w:val="000000000000"/>
              <w:rPr>
                <w:rFonts w:ascii="Calibri" w:eastAsia="Times New Roman" w:hAnsi="Calibri" w:cs="Calibri"/>
                <w:color w:val="000000"/>
                <w:szCs w:val="22"/>
              </w:rPr>
            </w:pPr>
            <w:r>
              <w:rPr>
                <w:rFonts w:ascii="Calibri" w:hAnsi="Calibri" w:cs="Calibri"/>
                <w:color w:val="000000"/>
                <w:szCs w:val="22"/>
              </w:rPr>
              <w:t>-0.04366</w:t>
            </w:r>
          </w:p>
        </w:tc>
        <w:tc>
          <w:tcPr>
            <w:tcW w:w="1433" w:type="dxa"/>
            <w:shd w:val="clear" w:color="auto" w:fill="E5DFEC" w:themeFill="accent4" w:themeFillTint="33"/>
            <w:noWrap/>
            <w:vAlign w:val="bottom"/>
          </w:tcPr>
          <w:p w:rsidR="00B65C4E" w:rsidRPr="00AA322D" w:rsidRDefault="00B65C4E" w:rsidP="00AA322D">
            <w:pPr>
              <w:jc w:val="right"/>
              <w:cnfStyle w:val="000000000000"/>
              <w:rPr>
                <w:rFonts w:ascii="Calibri" w:eastAsia="Times New Roman" w:hAnsi="Calibri" w:cs="Calibri"/>
                <w:color w:val="000000"/>
                <w:szCs w:val="22"/>
              </w:rPr>
            </w:pPr>
            <w:r>
              <w:rPr>
                <w:rFonts w:ascii="Calibri" w:hAnsi="Calibri" w:cs="Calibri"/>
                <w:color w:val="000000"/>
                <w:szCs w:val="22"/>
              </w:rPr>
              <w:t>0.403</w:t>
            </w:r>
          </w:p>
        </w:tc>
        <w:tc>
          <w:tcPr>
            <w:tcW w:w="1401" w:type="dxa"/>
            <w:shd w:val="clear" w:color="auto" w:fill="E5DFEC" w:themeFill="accent4" w:themeFillTint="33"/>
            <w:noWrap/>
            <w:vAlign w:val="bottom"/>
          </w:tcPr>
          <w:p w:rsidR="00B65C4E" w:rsidRPr="00AA322D" w:rsidRDefault="00B65C4E" w:rsidP="00AA322D">
            <w:pPr>
              <w:jc w:val="right"/>
              <w:cnfStyle w:val="000000000000"/>
              <w:rPr>
                <w:rFonts w:ascii="Calibri" w:eastAsia="Times New Roman" w:hAnsi="Calibri" w:cs="Calibri"/>
                <w:color w:val="000000"/>
                <w:szCs w:val="22"/>
              </w:rPr>
            </w:pPr>
            <w:r>
              <w:rPr>
                <w:rFonts w:ascii="Calibri" w:hAnsi="Calibri" w:cs="Calibri"/>
                <w:color w:val="000000"/>
                <w:szCs w:val="22"/>
              </w:rPr>
              <w:t>0.247</w:t>
            </w:r>
          </w:p>
        </w:tc>
        <w:tc>
          <w:tcPr>
            <w:tcW w:w="1622" w:type="dxa"/>
            <w:shd w:val="clear" w:color="auto" w:fill="E5DFEC" w:themeFill="accent4" w:themeFillTint="33"/>
            <w:noWrap/>
            <w:vAlign w:val="bottom"/>
          </w:tcPr>
          <w:p w:rsidR="00B65C4E" w:rsidRPr="00AA322D" w:rsidRDefault="00B65C4E" w:rsidP="00AA322D">
            <w:pPr>
              <w:jc w:val="right"/>
              <w:cnfStyle w:val="000000000000"/>
              <w:rPr>
                <w:rFonts w:ascii="Calibri" w:eastAsia="Times New Roman" w:hAnsi="Calibri" w:cs="Calibri"/>
                <w:color w:val="000000"/>
                <w:szCs w:val="22"/>
              </w:rPr>
            </w:pPr>
            <w:r>
              <w:rPr>
                <w:rFonts w:ascii="Calibri" w:hAnsi="Calibri" w:cs="Calibri"/>
                <w:color w:val="000000"/>
                <w:szCs w:val="22"/>
              </w:rPr>
              <w:t>0.203</w:t>
            </w:r>
          </w:p>
        </w:tc>
        <w:tc>
          <w:tcPr>
            <w:tcW w:w="1638" w:type="dxa"/>
            <w:shd w:val="clear" w:color="auto" w:fill="E5DFEC" w:themeFill="accent4" w:themeFillTint="33"/>
            <w:noWrap/>
            <w:vAlign w:val="bottom"/>
          </w:tcPr>
          <w:p w:rsidR="00B65C4E" w:rsidRPr="00AA322D" w:rsidRDefault="00B65C4E" w:rsidP="00AA322D">
            <w:pPr>
              <w:jc w:val="right"/>
              <w:cnfStyle w:val="000000000000"/>
              <w:rPr>
                <w:rFonts w:ascii="Calibri" w:eastAsia="Times New Roman" w:hAnsi="Calibri" w:cs="Calibri"/>
                <w:color w:val="000000"/>
                <w:szCs w:val="22"/>
              </w:rPr>
            </w:pPr>
            <w:r>
              <w:rPr>
                <w:rFonts w:ascii="Calibri" w:hAnsi="Calibri" w:cs="Calibri"/>
                <w:color w:val="000000"/>
                <w:szCs w:val="22"/>
              </w:rPr>
              <w:t>0.167</w:t>
            </w:r>
          </w:p>
        </w:tc>
      </w:tr>
      <w:tr w:rsidR="00B65C4E" w:rsidRPr="00AA322D">
        <w:trPr>
          <w:cnfStyle w:val="000000100000"/>
          <w:trHeight w:val="300"/>
        </w:trPr>
        <w:tc>
          <w:tcPr>
            <w:cnfStyle w:val="001000000000"/>
            <w:tcW w:w="805" w:type="dxa"/>
            <w:noWrap/>
            <w:vAlign w:val="bottom"/>
          </w:tcPr>
          <w:p w:rsidR="00B65C4E" w:rsidRPr="00AA322D" w:rsidRDefault="00B65C4E" w:rsidP="00AA322D">
            <w:pPr>
              <w:rPr>
                <w:rFonts w:ascii="Calibri" w:eastAsia="Times New Roman" w:hAnsi="Calibri" w:cs="Calibri"/>
                <w:color w:val="000000"/>
                <w:szCs w:val="22"/>
              </w:rPr>
            </w:pPr>
            <w:r>
              <w:rPr>
                <w:rFonts w:ascii="Calibri" w:hAnsi="Calibri" w:cs="Calibri"/>
                <w:color w:val="000000"/>
                <w:szCs w:val="22"/>
              </w:rPr>
              <w:t>b2-b3</w:t>
            </w:r>
          </w:p>
        </w:tc>
        <w:tc>
          <w:tcPr>
            <w:tcW w:w="1279" w:type="dxa"/>
            <w:shd w:val="clear" w:color="auto" w:fill="EAF1DD" w:themeFill="accent3" w:themeFillTint="33"/>
            <w:noWrap/>
            <w:vAlign w:val="bottom"/>
          </w:tcPr>
          <w:p w:rsidR="00B65C4E" w:rsidRPr="00AA322D" w:rsidRDefault="00B65C4E" w:rsidP="00AA322D">
            <w:pPr>
              <w:jc w:val="right"/>
              <w:cnfStyle w:val="000000100000"/>
              <w:rPr>
                <w:rFonts w:ascii="Calibri" w:eastAsia="Times New Roman" w:hAnsi="Calibri" w:cs="Calibri"/>
                <w:color w:val="000000"/>
                <w:szCs w:val="22"/>
              </w:rPr>
            </w:pPr>
            <w:r>
              <w:rPr>
                <w:rFonts w:ascii="Calibri" w:hAnsi="Calibri" w:cs="Calibri"/>
                <w:color w:val="000000"/>
                <w:szCs w:val="22"/>
              </w:rPr>
              <w:t>0.022527</w:t>
            </w:r>
          </w:p>
        </w:tc>
        <w:tc>
          <w:tcPr>
            <w:tcW w:w="1398" w:type="dxa"/>
            <w:shd w:val="clear" w:color="auto" w:fill="EAF1DD" w:themeFill="accent3" w:themeFillTint="33"/>
            <w:noWrap/>
            <w:vAlign w:val="bottom"/>
          </w:tcPr>
          <w:p w:rsidR="00B65C4E" w:rsidRPr="00AA322D" w:rsidRDefault="00B65C4E" w:rsidP="00AA322D">
            <w:pPr>
              <w:jc w:val="right"/>
              <w:cnfStyle w:val="000000100000"/>
              <w:rPr>
                <w:rFonts w:ascii="Calibri" w:eastAsia="Times New Roman" w:hAnsi="Calibri" w:cs="Calibri"/>
                <w:color w:val="000000"/>
                <w:szCs w:val="22"/>
              </w:rPr>
            </w:pPr>
            <w:r>
              <w:rPr>
                <w:rFonts w:ascii="Calibri" w:hAnsi="Calibri" w:cs="Calibri"/>
                <w:color w:val="000000"/>
                <w:szCs w:val="22"/>
              </w:rPr>
              <w:t>-0.03726</w:t>
            </w:r>
          </w:p>
        </w:tc>
        <w:tc>
          <w:tcPr>
            <w:tcW w:w="1433" w:type="dxa"/>
            <w:shd w:val="clear" w:color="auto" w:fill="E5DFEC" w:themeFill="accent4" w:themeFillTint="33"/>
            <w:noWrap/>
            <w:vAlign w:val="bottom"/>
          </w:tcPr>
          <w:p w:rsidR="00B65C4E" w:rsidRPr="00AA322D" w:rsidRDefault="00B65C4E" w:rsidP="00AA322D">
            <w:pPr>
              <w:jc w:val="right"/>
              <w:cnfStyle w:val="000000100000"/>
              <w:rPr>
                <w:rFonts w:ascii="Calibri" w:eastAsia="Times New Roman" w:hAnsi="Calibri" w:cs="Calibri"/>
                <w:color w:val="000000"/>
                <w:szCs w:val="22"/>
              </w:rPr>
            </w:pPr>
            <w:r>
              <w:rPr>
                <w:rFonts w:ascii="Calibri" w:hAnsi="Calibri" w:cs="Calibri"/>
                <w:color w:val="000000"/>
                <w:szCs w:val="22"/>
              </w:rPr>
              <w:t>0.359</w:t>
            </w:r>
          </w:p>
        </w:tc>
        <w:tc>
          <w:tcPr>
            <w:tcW w:w="1401" w:type="dxa"/>
            <w:shd w:val="clear" w:color="auto" w:fill="E5DFEC" w:themeFill="accent4" w:themeFillTint="33"/>
            <w:noWrap/>
            <w:vAlign w:val="bottom"/>
          </w:tcPr>
          <w:p w:rsidR="00B65C4E" w:rsidRPr="00AA322D" w:rsidRDefault="00B65C4E" w:rsidP="00AA322D">
            <w:pPr>
              <w:jc w:val="right"/>
              <w:cnfStyle w:val="000000100000"/>
              <w:rPr>
                <w:rFonts w:ascii="Calibri" w:eastAsia="Times New Roman" w:hAnsi="Calibri" w:cs="Calibri"/>
                <w:color w:val="000000"/>
                <w:szCs w:val="22"/>
              </w:rPr>
            </w:pPr>
            <w:r>
              <w:rPr>
                <w:rFonts w:ascii="Calibri" w:hAnsi="Calibri" w:cs="Calibri"/>
                <w:color w:val="000000"/>
                <w:szCs w:val="22"/>
              </w:rPr>
              <w:t>0.292</w:t>
            </w:r>
          </w:p>
        </w:tc>
        <w:tc>
          <w:tcPr>
            <w:tcW w:w="1622" w:type="dxa"/>
            <w:shd w:val="clear" w:color="auto" w:fill="E5DFEC" w:themeFill="accent4" w:themeFillTint="33"/>
            <w:noWrap/>
            <w:vAlign w:val="bottom"/>
          </w:tcPr>
          <w:p w:rsidR="00B65C4E" w:rsidRPr="00AA322D" w:rsidRDefault="00B65C4E" w:rsidP="00AA322D">
            <w:pPr>
              <w:jc w:val="right"/>
              <w:cnfStyle w:val="000000100000"/>
              <w:rPr>
                <w:rFonts w:ascii="Calibri" w:eastAsia="Times New Roman" w:hAnsi="Calibri" w:cs="Calibri"/>
                <w:color w:val="000000"/>
                <w:szCs w:val="22"/>
              </w:rPr>
            </w:pPr>
            <w:r>
              <w:rPr>
                <w:rFonts w:ascii="Calibri" w:hAnsi="Calibri" w:cs="Calibri"/>
                <w:color w:val="000000"/>
                <w:szCs w:val="22"/>
              </w:rPr>
              <w:t>0.264</w:t>
            </w:r>
          </w:p>
        </w:tc>
        <w:tc>
          <w:tcPr>
            <w:tcW w:w="1638" w:type="dxa"/>
            <w:shd w:val="clear" w:color="auto" w:fill="E5DFEC" w:themeFill="accent4" w:themeFillTint="33"/>
            <w:noWrap/>
            <w:vAlign w:val="bottom"/>
          </w:tcPr>
          <w:p w:rsidR="00B65C4E" w:rsidRPr="00AA322D" w:rsidRDefault="00B65C4E" w:rsidP="00AA322D">
            <w:pPr>
              <w:jc w:val="right"/>
              <w:cnfStyle w:val="000000100000"/>
              <w:rPr>
                <w:rFonts w:ascii="Calibri" w:eastAsia="Times New Roman" w:hAnsi="Calibri" w:cs="Calibri"/>
                <w:color w:val="000000"/>
                <w:szCs w:val="22"/>
              </w:rPr>
            </w:pPr>
            <w:r>
              <w:rPr>
                <w:rFonts w:ascii="Calibri" w:hAnsi="Calibri" w:cs="Calibri"/>
                <w:color w:val="000000"/>
                <w:szCs w:val="22"/>
              </w:rPr>
              <w:t>0.238</w:t>
            </w:r>
          </w:p>
        </w:tc>
      </w:tr>
      <w:tr w:rsidR="00B65C4E" w:rsidRPr="00580C4E">
        <w:trPr>
          <w:trHeight w:val="300"/>
        </w:trPr>
        <w:tc>
          <w:tcPr>
            <w:cnfStyle w:val="001000000000"/>
            <w:tcW w:w="805" w:type="dxa"/>
            <w:noWrap/>
            <w:vAlign w:val="bottom"/>
          </w:tcPr>
          <w:p w:rsidR="00B65C4E" w:rsidRPr="00580C4E" w:rsidRDefault="009E0985" w:rsidP="00AA322D">
            <w:pPr>
              <w:spacing w:after="200" w:line="276" w:lineRule="auto"/>
              <w:rPr>
                <w:rFonts w:ascii="Calibri" w:eastAsia="Times New Roman" w:hAnsi="Calibri" w:cs="Calibri"/>
                <w:i/>
                <w:iCs/>
                <w:color w:val="000000"/>
                <w:szCs w:val="22"/>
              </w:rPr>
            </w:pPr>
            <w:r w:rsidRPr="009E0985">
              <w:rPr>
                <w:rFonts w:ascii="Calibri" w:hAnsi="Calibri" w:cs="Calibri"/>
                <w:i/>
                <w:iCs/>
                <w:color w:val="000000"/>
                <w:szCs w:val="22"/>
              </w:rPr>
              <w:t>b2-b4</w:t>
            </w:r>
          </w:p>
        </w:tc>
        <w:tc>
          <w:tcPr>
            <w:tcW w:w="1279" w:type="dxa"/>
            <w:shd w:val="clear" w:color="auto" w:fill="EAF1DD" w:themeFill="accent3" w:themeFillTint="33"/>
            <w:noWrap/>
            <w:vAlign w:val="bottom"/>
          </w:tcPr>
          <w:p w:rsidR="00B65C4E" w:rsidRPr="00580C4E" w:rsidRDefault="009E0985" w:rsidP="00AA322D">
            <w:pPr>
              <w:spacing w:after="200" w:line="276" w:lineRule="auto"/>
              <w:jc w:val="right"/>
              <w:cnfStyle w:val="000000000000"/>
              <w:rPr>
                <w:rFonts w:ascii="Calibri" w:eastAsia="Times New Roman" w:hAnsi="Calibri" w:cs="Calibri"/>
                <w:i/>
                <w:iCs/>
                <w:color w:val="000000"/>
                <w:szCs w:val="22"/>
              </w:rPr>
            </w:pPr>
            <w:r w:rsidRPr="009E0985">
              <w:rPr>
                <w:rFonts w:ascii="Calibri" w:hAnsi="Calibri" w:cs="Calibri"/>
                <w:i/>
                <w:iCs/>
                <w:color w:val="000000"/>
                <w:szCs w:val="22"/>
              </w:rPr>
              <w:t>-0.0603</w:t>
            </w:r>
          </w:p>
        </w:tc>
        <w:tc>
          <w:tcPr>
            <w:tcW w:w="1398" w:type="dxa"/>
            <w:shd w:val="clear" w:color="auto" w:fill="EAF1DD" w:themeFill="accent3" w:themeFillTint="33"/>
            <w:noWrap/>
            <w:vAlign w:val="bottom"/>
          </w:tcPr>
          <w:p w:rsidR="00B65C4E" w:rsidRPr="00580C4E" w:rsidRDefault="009E0985" w:rsidP="00AA322D">
            <w:pPr>
              <w:spacing w:after="200" w:line="276" w:lineRule="auto"/>
              <w:jc w:val="right"/>
              <w:cnfStyle w:val="000000000000"/>
              <w:rPr>
                <w:rFonts w:ascii="Calibri" w:eastAsia="Times New Roman" w:hAnsi="Calibri" w:cs="Calibri"/>
                <w:i/>
                <w:iCs/>
                <w:color w:val="000000"/>
                <w:szCs w:val="22"/>
              </w:rPr>
            </w:pPr>
            <w:r w:rsidRPr="009E0985">
              <w:rPr>
                <w:rFonts w:ascii="Calibri" w:hAnsi="Calibri" w:cs="Calibri"/>
                <w:i/>
                <w:iCs/>
                <w:color w:val="000000"/>
                <w:szCs w:val="22"/>
              </w:rPr>
              <w:t>-0.13541</w:t>
            </w:r>
          </w:p>
        </w:tc>
        <w:tc>
          <w:tcPr>
            <w:tcW w:w="1433" w:type="dxa"/>
            <w:shd w:val="clear" w:color="auto" w:fill="E5DFEC" w:themeFill="accent4" w:themeFillTint="33"/>
            <w:noWrap/>
            <w:vAlign w:val="bottom"/>
          </w:tcPr>
          <w:p w:rsidR="00B65C4E" w:rsidRPr="00580C4E" w:rsidRDefault="009E0985" w:rsidP="00AA322D">
            <w:pPr>
              <w:spacing w:after="200" w:line="276" w:lineRule="auto"/>
              <w:jc w:val="right"/>
              <w:cnfStyle w:val="000000000000"/>
              <w:rPr>
                <w:rFonts w:ascii="Calibri" w:eastAsia="Times New Roman" w:hAnsi="Calibri" w:cs="Calibri"/>
                <w:i/>
                <w:iCs/>
                <w:color w:val="000000"/>
                <w:szCs w:val="22"/>
              </w:rPr>
            </w:pPr>
            <w:r w:rsidRPr="009E0985">
              <w:rPr>
                <w:rFonts w:ascii="Calibri" w:hAnsi="Calibri" w:cs="Calibri"/>
                <w:i/>
                <w:iCs/>
                <w:color w:val="000000"/>
                <w:szCs w:val="22"/>
              </w:rPr>
              <w:t>0.170</w:t>
            </w:r>
          </w:p>
        </w:tc>
        <w:tc>
          <w:tcPr>
            <w:tcW w:w="1401" w:type="dxa"/>
            <w:shd w:val="clear" w:color="auto" w:fill="E5DFEC" w:themeFill="accent4" w:themeFillTint="33"/>
            <w:noWrap/>
            <w:vAlign w:val="bottom"/>
          </w:tcPr>
          <w:p w:rsidR="00B65C4E" w:rsidRPr="00580C4E" w:rsidRDefault="009E0985" w:rsidP="00AA322D">
            <w:pPr>
              <w:spacing w:after="200" w:line="276" w:lineRule="auto"/>
              <w:jc w:val="right"/>
              <w:cnfStyle w:val="000000000000"/>
              <w:rPr>
                <w:rFonts w:ascii="Calibri" w:eastAsia="Times New Roman" w:hAnsi="Calibri" w:cs="Calibri"/>
                <w:i/>
                <w:iCs/>
                <w:color w:val="000000"/>
                <w:szCs w:val="22"/>
              </w:rPr>
            </w:pPr>
            <w:r w:rsidRPr="009E0985">
              <w:rPr>
                <w:rFonts w:ascii="Calibri" w:hAnsi="Calibri" w:cs="Calibri"/>
                <w:i/>
                <w:iCs/>
                <w:color w:val="000000"/>
                <w:szCs w:val="22"/>
              </w:rPr>
              <w:t>0.013</w:t>
            </w:r>
          </w:p>
        </w:tc>
        <w:tc>
          <w:tcPr>
            <w:tcW w:w="1622" w:type="dxa"/>
            <w:shd w:val="clear" w:color="auto" w:fill="E5DFEC" w:themeFill="accent4" w:themeFillTint="33"/>
            <w:noWrap/>
            <w:vAlign w:val="bottom"/>
          </w:tcPr>
          <w:p w:rsidR="00B65C4E" w:rsidRPr="00580C4E" w:rsidRDefault="009E0985" w:rsidP="00AA322D">
            <w:pPr>
              <w:spacing w:after="200" w:line="276" w:lineRule="auto"/>
              <w:jc w:val="right"/>
              <w:cnfStyle w:val="000000000000"/>
              <w:rPr>
                <w:rFonts w:ascii="Calibri" w:eastAsia="Times New Roman" w:hAnsi="Calibri" w:cs="Calibri"/>
                <w:i/>
                <w:iCs/>
                <w:color w:val="000000"/>
                <w:szCs w:val="22"/>
              </w:rPr>
            </w:pPr>
            <w:r w:rsidRPr="009E0985">
              <w:rPr>
                <w:rFonts w:ascii="Calibri" w:hAnsi="Calibri" w:cs="Calibri"/>
                <w:i/>
                <w:iCs/>
                <w:color w:val="000000"/>
                <w:szCs w:val="22"/>
              </w:rPr>
              <w:t>0.031</w:t>
            </w:r>
          </w:p>
        </w:tc>
        <w:tc>
          <w:tcPr>
            <w:tcW w:w="1638" w:type="dxa"/>
            <w:shd w:val="clear" w:color="auto" w:fill="E5DFEC" w:themeFill="accent4" w:themeFillTint="33"/>
            <w:noWrap/>
            <w:vAlign w:val="bottom"/>
          </w:tcPr>
          <w:p w:rsidR="00B65C4E" w:rsidRPr="00580C4E" w:rsidRDefault="009E0985" w:rsidP="00AA322D">
            <w:pPr>
              <w:spacing w:after="200" w:line="276" w:lineRule="auto"/>
              <w:jc w:val="right"/>
              <w:cnfStyle w:val="000000000000"/>
              <w:rPr>
                <w:rFonts w:ascii="Calibri" w:eastAsia="Times New Roman" w:hAnsi="Calibri" w:cs="Calibri"/>
                <w:i/>
                <w:iCs/>
                <w:color w:val="000000"/>
                <w:szCs w:val="22"/>
              </w:rPr>
            </w:pPr>
            <w:r w:rsidRPr="009E0985">
              <w:rPr>
                <w:rFonts w:ascii="Calibri" w:hAnsi="Calibri" w:cs="Calibri"/>
                <w:i/>
                <w:iCs/>
                <w:color w:val="000000"/>
                <w:szCs w:val="22"/>
              </w:rPr>
              <w:t>0.082</w:t>
            </w:r>
          </w:p>
        </w:tc>
      </w:tr>
      <w:tr w:rsidR="00B65C4E" w:rsidRPr="00AA322D">
        <w:trPr>
          <w:cnfStyle w:val="000000100000"/>
          <w:trHeight w:val="300"/>
        </w:trPr>
        <w:tc>
          <w:tcPr>
            <w:cnfStyle w:val="001000000000"/>
            <w:tcW w:w="805" w:type="dxa"/>
            <w:noWrap/>
            <w:vAlign w:val="bottom"/>
          </w:tcPr>
          <w:p w:rsidR="00B65C4E" w:rsidRPr="00AA322D" w:rsidRDefault="00B65C4E" w:rsidP="00AA322D">
            <w:pPr>
              <w:rPr>
                <w:rFonts w:ascii="Calibri" w:eastAsia="Times New Roman" w:hAnsi="Calibri" w:cs="Calibri"/>
                <w:color w:val="000000"/>
                <w:szCs w:val="22"/>
              </w:rPr>
            </w:pPr>
            <w:r>
              <w:rPr>
                <w:rFonts w:ascii="Calibri" w:hAnsi="Calibri" w:cs="Calibri"/>
                <w:color w:val="000000"/>
                <w:szCs w:val="22"/>
              </w:rPr>
              <w:t>b3-b4</w:t>
            </w:r>
          </w:p>
        </w:tc>
        <w:tc>
          <w:tcPr>
            <w:tcW w:w="1279" w:type="dxa"/>
            <w:shd w:val="clear" w:color="auto" w:fill="EAF1DD" w:themeFill="accent3" w:themeFillTint="33"/>
            <w:noWrap/>
            <w:vAlign w:val="bottom"/>
          </w:tcPr>
          <w:p w:rsidR="00B65C4E" w:rsidRPr="00AA322D" w:rsidRDefault="00B65C4E" w:rsidP="00AA322D">
            <w:pPr>
              <w:jc w:val="right"/>
              <w:cnfStyle w:val="000000100000"/>
              <w:rPr>
                <w:rFonts w:ascii="Calibri" w:eastAsia="Times New Roman" w:hAnsi="Calibri" w:cs="Calibri"/>
                <w:color w:val="000000"/>
                <w:szCs w:val="22"/>
              </w:rPr>
            </w:pPr>
            <w:r>
              <w:rPr>
                <w:rFonts w:ascii="Calibri" w:hAnsi="Calibri" w:cs="Calibri"/>
                <w:color w:val="000000"/>
                <w:szCs w:val="22"/>
              </w:rPr>
              <w:t>0.002101</w:t>
            </w:r>
          </w:p>
        </w:tc>
        <w:tc>
          <w:tcPr>
            <w:tcW w:w="1398" w:type="dxa"/>
            <w:shd w:val="clear" w:color="auto" w:fill="EAF1DD" w:themeFill="accent3" w:themeFillTint="33"/>
            <w:noWrap/>
            <w:vAlign w:val="bottom"/>
          </w:tcPr>
          <w:p w:rsidR="00B65C4E" w:rsidRPr="00AA322D" w:rsidRDefault="00B65C4E" w:rsidP="00AA322D">
            <w:pPr>
              <w:jc w:val="right"/>
              <w:cnfStyle w:val="000000100000"/>
              <w:rPr>
                <w:rFonts w:ascii="Calibri" w:eastAsia="Times New Roman" w:hAnsi="Calibri" w:cs="Calibri"/>
                <w:color w:val="000000"/>
                <w:szCs w:val="22"/>
              </w:rPr>
            </w:pPr>
            <w:r>
              <w:rPr>
                <w:rFonts w:ascii="Calibri" w:hAnsi="Calibri" w:cs="Calibri"/>
                <w:color w:val="000000"/>
                <w:szCs w:val="22"/>
              </w:rPr>
              <w:t>-0.05086</w:t>
            </w:r>
          </w:p>
        </w:tc>
        <w:tc>
          <w:tcPr>
            <w:tcW w:w="1433" w:type="dxa"/>
            <w:shd w:val="clear" w:color="auto" w:fill="E5DFEC" w:themeFill="accent4" w:themeFillTint="33"/>
            <w:noWrap/>
            <w:vAlign w:val="bottom"/>
          </w:tcPr>
          <w:p w:rsidR="00B65C4E" w:rsidRPr="00AA322D" w:rsidRDefault="00B65C4E" w:rsidP="00AA322D">
            <w:pPr>
              <w:jc w:val="right"/>
              <w:cnfStyle w:val="000000100000"/>
              <w:rPr>
                <w:rFonts w:ascii="Calibri" w:eastAsia="Times New Roman" w:hAnsi="Calibri" w:cs="Calibri"/>
                <w:color w:val="000000"/>
                <w:szCs w:val="22"/>
              </w:rPr>
            </w:pPr>
            <w:r>
              <w:rPr>
                <w:rFonts w:ascii="Calibri" w:hAnsi="Calibri" w:cs="Calibri"/>
                <w:color w:val="000000"/>
                <w:szCs w:val="22"/>
              </w:rPr>
              <w:t>0.518</w:t>
            </w:r>
          </w:p>
        </w:tc>
        <w:tc>
          <w:tcPr>
            <w:tcW w:w="1401" w:type="dxa"/>
            <w:shd w:val="clear" w:color="auto" w:fill="E5DFEC" w:themeFill="accent4" w:themeFillTint="33"/>
            <w:noWrap/>
            <w:vAlign w:val="bottom"/>
          </w:tcPr>
          <w:p w:rsidR="00B65C4E" w:rsidRPr="00AA322D" w:rsidRDefault="00B65C4E" w:rsidP="00AA322D">
            <w:pPr>
              <w:jc w:val="right"/>
              <w:cnfStyle w:val="000000100000"/>
              <w:rPr>
                <w:rFonts w:ascii="Calibri" w:eastAsia="Times New Roman" w:hAnsi="Calibri" w:cs="Calibri"/>
                <w:color w:val="000000"/>
                <w:szCs w:val="22"/>
              </w:rPr>
            </w:pPr>
            <w:r>
              <w:rPr>
                <w:rFonts w:ascii="Calibri" w:hAnsi="Calibri" w:cs="Calibri"/>
                <w:color w:val="000000"/>
                <w:szCs w:val="22"/>
              </w:rPr>
              <w:t>0.225</w:t>
            </w:r>
          </w:p>
        </w:tc>
        <w:tc>
          <w:tcPr>
            <w:tcW w:w="1622" w:type="dxa"/>
            <w:shd w:val="clear" w:color="auto" w:fill="E5DFEC" w:themeFill="accent4" w:themeFillTint="33"/>
            <w:noWrap/>
            <w:vAlign w:val="bottom"/>
          </w:tcPr>
          <w:p w:rsidR="00B65C4E" w:rsidRPr="00AA322D" w:rsidRDefault="00B65C4E" w:rsidP="00AA322D">
            <w:pPr>
              <w:jc w:val="right"/>
              <w:cnfStyle w:val="000000100000"/>
              <w:rPr>
                <w:rFonts w:ascii="Calibri" w:eastAsia="Times New Roman" w:hAnsi="Calibri" w:cs="Calibri"/>
                <w:color w:val="000000"/>
                <w:szCs w:val="22"/>
              </w:rPr>
            </w:pPr>
            <w:r>
              <w:rPr>
                <w:rFonts w:ascii="Calibri" w:hAnsi="Calibri" w:cs="Calibri"/>
                <w:color w:val="000000"/>
                <w:szCs w:val="22"/>
              </w:rPr>
              <w:t>0.196</w:t>
            </w:r>
          </w:p>
        </w:tc>
        <w:tc>
          <w:tcPr>
            <w:tcW w:w="1638" w:type="dxa"/>
            <w:shd w:val="clear" w:color="auto" w:fill="E5DFEC" w:themeFill="accent4" w:themeFillTint="33"/>
            <w:noWrap/>
            <w:vAlign w:val="bottom"/>
          </w:tcPr>
          <w:p w:rsidR="00B65C4E" w:rsidRPr="00AA322D" w:rsidRDefault="00B65C4E" w:rsidP="00AA322D">
            <w:pPr>
              <w:jc w:val="right"/>
              <w:cnfStyle w:val="000000100000"/>
              <w:rPr>
                <w:rFonts w:ascii="Calibri" w:eastAsia="Times New Roman" w:hAnsi="Calibri" w:cs="Calibri"/>
                <w:color w:val="000000"/>
                <w:szCs w:val="22"/>
              </w:rPr>
            </w:pPr>
            <w:r>
              <w:rPr>
                <w:rFonts w:ascii="Calibri" w:hAnsi="Calibri" w:cs="Calibri"/>
                <w:color w:val="000000"/>
                <w:szCs w:val="22"/>
              </w:rPr>
              <w:t>0.170</w:t>
            </w:r>
          </w:p>
        </w:tc>
      </w:tr>
    </w:tbl>
    <w:p w:rsidR="009E755F" w:rsidRDefault="003207A7" w:rsidP="009E755F">
      <w:pPr>
        <w:pStyle w:val="Heading3"/>
        <w:jc w:val="both"/>
      </w:pPr>
      <w:r>
        <w:t>S</w:t>
      </w:r>
      <w:r w:rsidR="00B514D5">
        <w:t>imulated data</w:t>
      </w:r>
    </w:p>
    <w:p w:rsidR="001C4ED7" w:rsidRDefault="00B514D5" w:rsidP="001C4ED7">
      <w:pPr>
        <w:jc w:val="both"/>
      </w:pPr>
      <w:r>
        <w:t>We performed a number of si</w:t>
      </w:r>
      <w:r w:rsidR="004E6A37">
        <w:t>m</w:t>
      </w:r>
      <w:r w:rsidR="001B5563">
        <w:t>ulations to demonstrate</w:t>
      </w:r>
      <w:r w:rsidR="004E6A37">
        <w:t xml:space="preserve"> the effect</w:t>
      </w:r>
      <w:r w:rsidR="0088192B">
        <w:t xml:space="preserve"> of compositional measurement</w:t>
      </w:r>
      <w:r w:rsidR="00175B0A">
        <w:t xml:space="preserve"> and assess </w:t>
      </w:r>
      <w:r w:rsidR="00195D72">
        <w:t xml:space="preserve">the performance of </w:t>
      </w:r>
      <w:r w:rsidR="00B2237F">
        <w:t xml:space="preserve">the </w:t>
      </w:r>
      <w:proofErr w:type="spellStart"/>
      <w:r w:rsidR="00195D72">
        <w:t>ReBoot</w:t>
      </w:r>
      <w:proofErr w:type="spellEnd"/>
      <w:r w:rsidR="00195D72">
        <w:t xml:space="preserve"> method</w:t>
      </w:r>
      <w:r w:rsidR="004E6A37">
        <w:t>.</w:t>
      </w:r>
      <w:r w:rsidR="001B5563">
        <w:t xml:space="preserve">  In the simulation</w:t>
      </w:r>
      <w:r w:rsidR="009927FC">
        <w:t>s</w:t>
      </w:r>
      <w:r w:rsidR="001B5563">
        <w:t>, absolute abundance</w:t>
      </w:r>
      <w:r w:rsidR="00175B0A">
        <w:t>s</w:t>
      </w:r>
      <w:r w:rsidR="001B5563">
        <w:t xml:space="preserve"> of </w:t>
      </w:r>
      <w:r w:rsidR="00CD2059">
        <w:t xml:space="preserve">10 </w:t>
      </w:r>
      <w:r w:rsidR="008F1F26">
        <w:t>to</w:t>
      </w:r>
      <w:r w:rsidR="00CD2059">
        <w:t xml:space="preserve"> </w:t>
      </w:r>
      <w:r w:rsidR="001B5563">
        <w:t>10</w:t>
      </w:r>
      <w:r w:rsidR="00CD2059">
        <w:t>0</w:t>
      </w:r>
      <w:r w:rsidR="001B5563">
        <w:t xml:space="preserve"> microbes</w:t>
      </w:r>
      <w:r w:rsidR="00175B0A">
        <w:t xml:space="preserve"> were</w:t>
      </w:r>
      <w:r w:rsidR="001B5563">
        <w:t xml:space="preserve"> simulated by adding normally distributed noise</w:t>
      </w:r>
      <w:r w:rsidR="009927FC">
        <w:t xml:space="preserve"> </w:t>
      </w:r>
      <w:r w:rsidR="001B5563">
        <w:t xml:space="preserve">to </w:t>
      </w:r>
      <w:r w:rsidR="009927FC">
        <w:t>a linear trend.</w:t>
      </w:r>
      <w:r w:rsidR="00175B0A">
        <w:t xml:space="preserve">  A minimum of 10 microbes were required to capture a realistic compositional effect</w:t>
      </w:r>
      <w:r w:rsidR="00FB7A20">
        <w:t>,</w:t>
      </w:r>
      <w:r w:rsidR="00CD2059">
        <w:t xml:space="preserve"> while too many </w:t>
      </w:r>
      <w:r w:rsidR="007C720D">
        <w:t xml:space="preserve">simulated </w:t>
      </w:r>
      <w:r w:rsidR="00CD2059">
        <w:t>microbes will diminish the effect</w:t>
      </w:r>
      <w:r w:rsidR="00175B0A">
        <w:t>.</w:t>
      </w:r>
      <w:r w:rsidR="00A435EC">
        <w:t xml:space="preserve">  For each microbe, 250 </w:t>
      </w:r>
      <w:r w:rsidR="00B7149E">
        <w:t>absolute abundances</w:t>
      </w:r>
      <w:r w:rsidR="00A435EC">
        <w:t xml:space="preserve"> (</w:t>
      </w:r>
      <w:r w:rsidR="003207A7">
        <w:t xml:space="preserve">the </w:t>
      </w:r>
      <w:r w:rsidR="00A435EC">
        <w:t>same number as the HMP subjects) were produced as a linea</w:t>
      </w:r>
      <w:r w:rsidR="00B7149E">
        <w:t>r</w:t>
      </w:r>
      <w:r w:rsidR="00A435EC">
        <w:t xml:space="preserve"> function of the subject index (1-250) with random noise.</w:t>
      </w:r>
      <w:r w:rsidR="009927FC">
        <w:t xml:space="preserve">  The standard deviation of the noise distribution is fixed within each simulation.</w:t>
      </w:r>
      <w:r w:rsidR="004E6A37">
        <w:t xml:space="preserve">  </w:t>
      </w:r>
      <w:r w:rsidR="009927FC">
        <w:t xml:space="preserve">The true correlations between </w:t>
      </w:r>
      <w:r w:rsidR="00D67163">
        <w:t xml:space="preserve">simulated </w:t>
      </w:r>
      <w:r w:rsidR="009927FC">
        <w:t>microbes were determined by the correlation of the noise-free linear trends.  These absolute abundance</w:t>
      </w:r>
      <w:r w:rsidR="0016342B">
        <w:t>s were converted to relative abundances by sample-wise normalization</w:t>
      </w:r>
      <w:r w:rsidR="009927FC">
        <w:t>.</w:t>
      </w:r>
    </w:p>
    <w:p w:rsidR="009E755F" w:rsidRDefault="00F22532" w:rsidP="001C4ED7">
      <w:pPr>
        <w:pStyle w:val="Heading3"/>
      </w:pPr>
      <w:r>
        <w:t xml:space="preserve">Renormalization </w:t>
      </w:r>
      <w:r w:rsidR="0006203E">
        <w:t xml:space="preserve">mitigates </w:t>
      </w:r>
      <w:r>
        <w:t>the compositional effect</w:t>
      </w:r>
    </w:p>
    <w:p w:rsidR="009E755F" w:rsidRDefault="007B3C53" w:rsidP="009E755F">
      <w:pPr>
        <w:jc w:val="both"/>
      </w:pPr>
      <w:r>
        <w:t>As discussed above,</w:t>
      </w:r>
      <w:r w:rsidR="00965135">
        <w:t xml:space="preserve"> a</w:t>
      </w:r>
      <w:r>
        <w:t>n appropriate</w:t>
      </w:r>
      <w:r w:rsidR="00965135">
        <w:t xml:space="preserve"> null distribution </w:t>
      </w:r>
      <w:r>
        <w:t>should</w:t>
      </w:r>
      <w:r w:rsidR="00965135">
        <w:t xml:space="preserve"> represent the amount of correlation due to compositional measurement</w:t>
      </w:r>
      <w:r>
        <w:t xml:space="preserve"> alone</w:t>
      </w:r>
      <w:r w:rsidR="00965135">
        <w:t xml:space="preserve">.  While permutation breaks the correlation structure between pairs of microbes, it also eliminates compositional correlation.  </w:t>
      </w:r>
      <w:r w:rsidR="00164785">
        <w:t xml:space="preserve">During the </w:t>
      </w:r>
      <w:proofErr w:type="spellStart"/>
      <w:r w:rsidR="00164785">
        <w:t>ReBoot</w:t>
      </w:r>
      <w:proofErr w:type="spellEnd"/>
      <w:r w:rsidR="00164785">
        <w:t xml:space="preserve"> procedure</w:t>
      </w:r>
      <w:r w:rsidR="00965135">
        <w:t>, since only the microbes of interest are permuted, the compositional effect is retained in the other microbes</w:t>
      </w:r>
      <w:r w:rsidR="00D530AE">
        <w:t xml:space="preserve">, </w:t>
      </w:r>
      <w:r w:rsidR="00965135">
        <w:t xml:space="preserve">we can </w:t>
      </w:r>
      <w:r w:rsidR="00D530AE">
        <w:t xml:space="preserve">thus </w:t>
      </w:r>
      <w:r w:rsidR="00965135">
        <w:t>reintroduce the compositional structure to the permuted vectors by renormalizing the data</w:t>
      </w:r>
      <w:r>
        <w:t xml:space="preserve"> so that </w:t>
      </w:r>
      <w:r w:rsidR="00D530AE">
        <w:t>each</w:t>
      </w:r>
      <w:r>
        <w:t xml:space="preserve"> sample </w:t>
      </w:r>
      <w:r w:rsidR="00965135">
        <w:t xml:space="preserve">sum </w:t>
      </w:r>
      <w:r>
        <w:t>is</w:t>
      </w:r>
      <w:r w:rsidR="00965135">
        <w:t xml:space="preserve"> one.</w:t>
      </w:r>
      <w:r>
        <w:t xml:space="preserve">  The correlation structure remain</w:t>
      </w:r>
      <w:r w:rsidR="00D530AE">
        <w:t>ing</w:t>
      </w:r>
      <w:r>
        <w:t xml:space="preserve"> in the renormalized permuted data is the correlation due to compositionality alone.</w:t>
      </w:r>
    </w:p>
    <w:p w:rsidR="00022B6E" w:rsidRDefault="007B3C53" w:rsidP="009E755F">
      <w:pPr>
        <w:jc w:val="both"/>
      </w:pPr>
      <w:r w:rsidRPr="009546DE">
        <w:t xml:space="preserve">To illustrate </w:t>
      </w:r>
      <w:r w:rsidR="009546DE">
        <w:t>that permutation-renormalization recovers the compositional effect</w:t>
      </w:r>
      <w:r>
        <w:t xml:space="preserve">, we </w:t>
      </w:r>
      <w:r w:rsidR="00E735DA">
        <w:t>performed</w:t>
      </w:r>
      <w:r>
        <w:t xml:space="preserve"> a simulation (</w:t>
      </w:r>
      <w:r w:rsidR="00E36E8D">
        <w:t>Figure SM5</w:t>
      </w:r>
      <w:r>
        <w:t>) in which</w:t>
      </w:r>
      <w:r w:rsidR="00022B6E" w:rsidRPr="009E755F">
        <w:t xml:space="preserve"> high-abundance</w:t>
      </w:r>
      <w:r w:rsidR="004A0662">
        <w:t xml:space="preserve"> microbe</w:t>
      </w:r>
      <w:r w:rsidR="00022B6E" w:rsidRPr="009E755F">
        <w:t xml:space="preserve"> b1 is increasing with the sample index, </w:t>
      </w:r>
      <w:r w:rsidR="004A0662">
        <w:t xml:space="preserve">microbe </w:t>
      </w:r>
      <w:r w:rsidR="00022B6E" w:rsidRPr="009E755F">
        <w:t>b2 remains constant, low-abundance</w:t>
      </w:r>
      <w:r w:rsidR="004A0662">
        <w:t xml:space="preserve"> microbe</w:t>
      </w:r>
      <w:r w:rsidR="00022B6E" w:rsidRPr="009E755F">
        <w:t xml:space="preserve"> b3 is decreasing, and the other 97 microbes are constant </w:t>
      </w:r>
      <w:r w:rsidR="00D43411">
        <w:t xml:space="preserve">(and thus uncorrelated) </w:t>
      </w:r>
      <w:r w:rsidR="00022B6E" w:rsidRPr="009E755F">
        <w:t>at low abundance.  The absolute abundance is normalized into relative abundance whose negative compositional (spurious) correlation</w:t>
      </w:r>
      <w:r w:rsidR="004A0662">
        <w:t xml:space="preserve"> between b1 and b2</w:t>
      </w:r>
      <w:r w:rsidR="00022B6E" w:rsidRPr="009E755F">
        <w:t xml:space="preserve"> is</w:t>
      </w:r>
      <w:r w:rsidR="004A0662">
        <w:t xml:space="preserve"> clearly visible</w:t>
      </w:r>
      <w:r w:rsidR="00022B6E" w:rsidRPr="009E755F">
        <w:t>.  For each pair of microbes (e.g. b2-b3 and b1-b2</w:t>
      </w:r>
      <w:r w:rsidR="00C834C1">
        <w:t xml:space="preserve"> shown in Figure SM5</w:t>
      </w:r>
      <w:r w:rsidR="00022B6E" w:rsidRPr="009E755F">
        <w:t>), permutation was performed to break their correlation</w:t>
      </w:r>
      <w:r w:rsidR="00E4022D">
        <w:t>,</w:t>
      </w:r>
      <w:r w:rsidR="00022B6E" w:rsidRPr="009E755F">
        <w:t xml:space="preserve"> th</w:t>
      </w:r>
      <w:r w:rsidR="00E4022D">
        <w:t>en sample-wise renormalization was performed</w:t>
      </w:r>
      <w:r w:rsidR="00022B6E" w:rsidRPr="009E755F">
        <w:t xml:space="preserve">.  </w:t>
      </w:r>
      <w:r w:rsidR="008008FC">
        <w:t xml:space="preserve">The correlations between microbes of interest in the renormalized permuted data were the </w:t>
      </w:r>
      <w:r w:rsidR="008008FC" w:rsidRPr="009E755F">
        <w:t>correlation structure due to compositionality</w:t>
      </w:r>
      <w:r w:rsidR="008008FC">
        <w:t xml:space="preserve"> alone</w:t>
      </w:r>
      <w:r w:rsidR="00605B35">
        <w:t xml:space="preserve"> and were</w:t>
      </w:r>
      <w:r w:rsidR="008008FC">
        <w:t xml:space="preserve"> visible</w:t>
      </w:r>
      <w:r w:rsidR="008008FC" w:rsidRPr="008008FC">
        <w:t xml:space="preserve"> </w:t>
      </w:r>
      <w:r w:rsidR="008008FC" w:rsidRPr="009E755F">
        <w:t>when plotted with index ranked by abundance of the microbes of interest (</w:t>
      </w:r>
      <w:r w:rsidR="008008FC">
        <w:t>e.g.</w:t>
      </w:r>
      <w:r w:rsidR="008008FC" w:rsidRPr="009E755F">
        <w:t xml:space="preserve"> b2</w:t>
      </w:r>
      <w:r w:rsidR="008008FC">
        <w:t xml:space="preserve"> and</w:t>
      </w:r>
      <w:r w:rsidR="008008FC" w:rsidRPr="009E755F">
        <w:t xml:space="preserve"> b1</w:t>
      </w:r>
      <w:r w:rsidR="00605B35">
        <w:t>, Figure SM5</w:t>
      </w:r>
      <w:r w:rsidR="008008FC" w:rsidRPr="009E755F">
        <w:t>).</w:t>
      </w:r>
    </w:p>
    <w:p w:rsidR="004575D8" w:rsidRDefault="004575D8" w:rsidP="009E755F">
      <w:pPr>
        <w:jc w:val="both"/>
      </w:pPr>
      <w:r>
        <w:t>It is important to note that renormalization can only recapture the compositional effect in as much as one exists in the relative abundance data.  Some compositional effect</w:t>
      </w:r>
      <w:r w:rsidR="005478DD">
        <w:t>s</w:t>
      </w:r>
      <w:r>
        <w:t xml:space="preserve"> cannot be </w:t>
      </w:r>
      <w:r w:rsidR="005478DD">
        <w:t>removed</w:t>
      </w:r>
      <w:r>
        <w:t xml:space="preserve"> because of the information lost during the initial normalization</w:t>
      </w:r>
      <w:r w:rsidR="005478DD">
        <w:t xml:space="preserve">, and in these cases </w:t>
      </w:r>
      <w:proofErr w:type="spellStart"/>
      <w:r w:rsidR="005478DD">
        <w:t>ReBoot</w:t>
      </w:r>
      <w:proofErr w:type="spellEnd"/>
      <w:r w:rsidR="005478DD">
        <w:t xml:space="preserve"> errs on the side of potential false positives, assuming that correlations greater than would be expected by chance in relative abundances were also significant in the underlying hidden absolute abundances</w:t>
      </w:r>
      <w:r>
        <w:t xml:space="preserve">.  Again, </w:t>
      </w:r>
      <w:r w:rsidR="009E0985">
        <w:fldChar w:fldCharType="begin"/>
      </w:r>
      <w:r>
        <w:instrText xml:space="preserve"> REF _Ref321950492 \h </w:instrText>
      </w:r>
      <w:r w:rsidR="009E0985">
        <w:fldChar w:fldCharType="separate"/>
      </w:r>
      <w:r>
        <w:t>Figure SM</w:t>
      </w:r>
      <w:r>
        <w:rPr>
          <w:noProof/>
        </w:rPr>
        <w:t>1</w:t>
      </w:r>
      <w:r w:rsidR="009E0985">
        <w:fldChar w:fldCharType="end"/>
      </w:r>
      <w:r w:rsidR="009E0985">
        <w:fldChar w:fldCharType="begin"/>
      </w:r>
      <w:r>
        <w:instrText xml:space="preserve"> REF _Ref320814880 \h </w:instrText>
      </w:r>
      <w:r w:rsidR="009E0985">
        <w:fldChar w:fldCharType="end"/>
      </w:r>
      <w:r>
        <w:t xml:space="preserve"> illustrate</w:t>
      </w:r>
      <w:r w:rsidR="00AA3527">
        <w:t>s</w:t>
      </w:r>
      <w:r>
        <w:t xml:space="preserve"> such a case where </w:t>
      </w:r>
      <w:r w:rsidR="00627F94">
        <w:t>it is impossible</w:t>
      </w:r>
      <w:r>
        <w:t xml:space="preserve"> to </w:t>
      </w:r>
      <w:r w:rsidR="00627F94">
        <w:t xml:space="preserve">fully </w:t>
      </w:r>
      <w:r>
        <w:t xml:space="preserve">distinguish compositional, spurious correlation from the </w:t>
      </w:r>
      <w:r w:rsidR="00627F94">
        <w:t>original absolute</w:t>
      </w:r>
      <w:r>
        <w:t xml:space="preserve"> correlation</w:t>
      </w:r>
      <w:r w:rsidR="00627F94">
        <w:t>s</w:t>
      </w:r>
      <w:r>
        <w:t>.</w:t>
      </w:r>
    </w:p>
    <w:p w:rsidR="00000000" w:rsidRDefault="00F62AC9">
      <w:pPr>
        <w:keepNext/>
        <w:jc w:val="both"/>
      </w:pPr>
      <w:r>
        <w:rPr>
          <w:noProof/>
          <w:lang w:eastAsia="en-US" w:bidi="ar-SA"/>
        </w:rPr>
        <w:drawing>
          <wp:inline distT="0" distB="0" distL="0" distR="0">
            <wp:extent cx="5934075" cy="3514725"/>
            <wp:effectExtent l="0" t="0" r="0" b="0"/>
            <wp:docPr id="3" name="Picture 3" descr="C:\Documents and Settings\fah sathirapongsasut\My Documents\Dropbox\HMP_Relationships\supplement\Supplement Method\S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ah sathirapongsasut\My Documents\Dropbox\HMP_Relationships\supplement\Supplement Method\SM6.png"/>
                    <pic:cNvPicPr>
                      <a:picLocks noChangeAspect="1" noChangeArrowheads="1"/>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514725"/>
                    </a:xfrm>
                    <a:prstGeom prst="rect">
                      <a:avLst/>
                    </a:prstGeom>
                    <a:noFill/>
                    <a:ln>
                      <a:noFill/>
                    </a:ln>
                  </pic:spPr>
                </pic:pic>
              </a:graphicData>
            </a:graphic>
          </wp:inline>
        </w:drawing>
      </w:r>
    </w:p>
    <w:p w:rsidR="00000000" w:rsidRDefault="007B3C53">
      <w:pPr>
        <w:pStyle w:val="Caption"/>
        <w:jc w:val="both"/>
      </w:pPr>
      <w:r w:rsidRPr="00913B96">
        <w:t>Figure S</w:t>
      </w:r>
      <w:r w:rsidRPr="00FE6E45">
        <w:t xml:space="preserve">M5 </w:t>
      </w:r>
      <w:r w:rsidR="00554B09" w:rsidRPr="00174E77">
        <w:t xml:space="preserve"> </w:t>
      </w:r>
      <w:r w:rsidR="00531FB3">
        <w:t>C</w:t>
      </w:r>
      <w:r w:rsidR="00554B09" w:rsidRPr="00174E77">
        <w:t xml:space="preserve">orrelation due to compositionality alone </w:t>
      </w:r>
      <w:r w:rsidR="00531FB3">
        <w:t xml:space="preserve">is retained in the </w:t>
      </w:r>
      <w:r w:rsidR="00554B09" w:rsidRPr="00D72FD5">
        <w:t>permutation-r</w:t>
      </w:r>
      <w:r w:rsidR="00554B09" w:rsidRPr="006E7E79">
        <w:t>enormalization</w:t>
      </w:r>
      <w:r w:rsidR="004575D8" w:rsidRPr="00B4275D">
        <w:t xml:space="preserve"> </w:t>
      </w:r>
      <w:r w:rsidR="00531FB3">
        <w:t>null distribution</w:t>
      </w:r>
      <w:r w:rsidR="004575D8" w:rsidRPr="00B4275D">
        <w:t xml:space="preserve">. </w:t>
      </w:r>
      <w:r w:rsidR="004575D8" w:rsidRPr="008146A4">
        <w:t xml:space="preserve"> </w:t>
      </w:r>
      <w:r w:rsidR="009E0985" w:rsidRPr="009E0985">
        <w:rPr>
          <w:b w:val="0"/>
        </w:rPr>
        <w:t xml:space="preserve">Because permutation alone is insufficient to represent the null </w:t>
      </w:r>
      <w:r w:rsidR="00491DEC">
        <w:rPr>
          <w:b w:val="0"/>
        </w:rPr>
        <w:t xml:space="preserve">distribution of </w:t>
      </w:r>
      <w:r w:rsidR="009E0985" w:rsidRPr="009E0985">
        <w:rPr>
          <w:b w:val="0"/>
        </w:rPr>
        <w:t xml:space="preserve">correlation due to compositionality, we recover the </w:t>
      </w:r>
      <w:r w:rsidR="004045D8">
        <w:rPr>
          <w:b w:val="0"/>
        </w:rPr>
        <w:t xml:space="preserve">additional </w:t>
      </w:r>
      <w:r w:rsidR="009E0985" w:rsidRPr="009E0985">
        <w:rPr>
          <w:b w:val="0"/>
        </w:rPr>
        <w:t xml:space="preserve">compositional structure through renormalization. Permutation of relative abundance breaks all correlation structure in the data, but renormalization of </w:t>
      </w:r>
      <w:r w:rsidR="004045D8">
        <w:rPr>
          <w:b w:val="0"/>
        </w:rPr>
        <w:t xml:space="preserve">each column of </w:t>
      </w:r>
      <w:r w:rsidR="009E0985" w:rsidRPr="009E0985">
        <w:rPr>
          <w:b w:val="0"/>
        </w:rPr>
        <w:t>permuted data reintroduces the compositional structure</w:t>
      </w:r>
      <w:r w:rsidR="004045D8">
        <w:rPr>
          <w:b w:val="0"/>
        </w:rPr>
        <w:t>,</w:t>
      </w:r>
      <w:r w:rsidR="009E0985" w:rsidRPr="009E0985">
        <w:rPr>
          <w:b w:val="0"/>
        </w:rPr>
        <w:t xml:space="preserve"> by the </w:t>
      </w:r>
      <w:r w:rsidR="004045D8">
        <w:rPr>
          <w:b w:val="0"/>
        </w:rPr>
        <w:t xml:space="preserve">degree to which it is present in the </w:t>
      </w:r>
      <w:r w:rsidR="009E0985" w:rsidRPr="009E0985">
        <w:rPr>
          <w:b w:val="0"/>
        </w:rPr>
        <w:t xml:space="preserve">remaining </w:t>
      </w:r>
      <w:r w:rsidR="004045D8">
        <w:rPr>
          <w:b w:val="0"/>
        </w:rPr>
        <w:t>non-permuted features'</w:t>
      </w:r>
      <w:r w:rsidR="009E0985" w:rsidRPr="009E0985">
        <w:rPr>
          <w:b w:val="0"/>
        </w:rPr>
        <w:t xml:space="preserve"> relative abundances. </w:t>
      </w:r>
      <w:r w:rsidR="004045D8">
        <w:rPr>
          <w:b w:val="0"/>
        </w:rPr>
        <w:t>C</w:t>
      </w:r>
      <w:r w:rsidR="009E0985" w:rsidRPr="009E0985">
        <w:rPr>
          <w:b w:val="0"/>
        </w:rPr>
        <w:t>orrelations that exist in th</w:t>
      </w:r>
      <w:r w:rsidR="004045D8">
        <w:rPr>
          <w:b w:val="0"/>
        </w:rPr>
        <w:t>is</w:t>
      </w:r>
      <w:r w:rsidR="009E0985" w:rsidRPr="009E0985">
        <w:rPr>
          <w:b w:val="0"/>
        </w:rPr>
        <w:t xml:space="preserve"> renormalized permuted data are due to compositionality alone and can be used to construct an appropriate null distribution.</w:t>
      </w:r>
    </w:p>
    <w:p w:rsidR="00321DA7" w:rsidRDefault="00321DA7" w:rsidP="00321DA7">
      <w:pPr>
        <w:pStyle w:val="Heading3"/>
        <w:jc w:val="both"/>
      </w:pPr>
      <w:r>
        <w:t>Bootstrap scales the confidence interval according to the overall relative abundances</w:t>
      </w:r>
    </w:p>
    <w:p w:rsidR="00DB2F13" w:rsidRDefault="00CA63E0" w:rsidP="00321DA7">
      <w:pPr>
        <w:jc w:val="both"/>
      </w:pPr>
      <w:r>
        <w:t>As discuss</w:t>
      </w:r>
      <w:r w:rsidR="00C9648F">
        <w:t>ed</w:t>
      </w:r>
      <w:r>
        <w:t xml:space="preserve"> above,</w:t>
      </w:r>
      <w:r w:rsidR="007E5B1E">
        <w:t xml:space="preserve"> </w:t>
      </w:r>
      <w:r>
        <w:t>normalization reduce</w:t>
      </w:r>
      <w:r w:rsidR="007E5B1E">
        <w:t>s</w:t>
      </w:r>
      <w:r>
        <w:t xml:space="preserve"> the information</w:t>
      </w:r>
      <w:r w:rsidR="007E5B1E">
        <w:t xml:space="preserve"> about the absolute abundance</w:t>
      </w:r>
      <w:r>
        <w:t xml:space="preserve"> </w:t>
      </w:r>
      <w:r w:rsidR="007E5B1E">
        <w:t xml:space="preserve">while introducing spurious correlation.  </w:t>
      </w:r>
      <w:r w:rsidR="00AA1CC8">
        <w:t>It has been shown</w:t>
      </w:r>
      <w:r w:rsidR="007E5B1E">
        <w:t xml:space="preserve"> previously </w:t>
      </w:r>
      <w:r w:rsidR="009E0985">
        <w:fldChar w:fldCharType="begin"/>
      </w:r>
      <w:r w:rsidR="00D84FAF">
        <w:instrText xml:space="preserve"> ADDIN EN.CITE &lt;EndNote&gt;&lt;Cite&gt;&lt;Author&gt;Aitchison&lt;/Author&gt;&lt;Year&gt;2003&lt;/Year&gt;&lt;RecNum&gt;95&lt;/RecNum&gt;&lt;DisplayText&gt;[1]&lt;/DisplayText&gt;&lt;record&gt;&lt;rec-number&gt;95&lt;/rec-number&gt;&lt;foreign-keys&gt;&lt;key app="EN" db-id="0aadv9prp59wdgeadww5xxx3dv5w2dfwztxf"&gt;95&lt;/key&gt;&lt;/foreign-keys&gt;&lt;ref-type name="Conference Paper"&gt;47&lt;/ref-type&gt;&lt;contributors&gt;&lt;authors&gt;&lt;author&gt;J Aitchison&lt;/author&gt;&lt;/authors&gt;&lt;/contributors&gt;&lt;titles&gt;&lt;title&gt;A Concise Guide to Compositional Data Analysis&lt;/title&gt;&lt;secondary-title&gt;CDA Workshop Girona&lt;/secondary-title&gt;&lt;/titles&gt;&lt;dates&gt;&lt;year&gt;2003&lt;/year&gt;&lt;/dates&gt;&lt;urls&gt;&lt;/urls&gt;&lt;/record&gt;&lt;/Cite&gt;&lt;/EndNote&gt;</w:instrText>
      </w:r>
      <w:r w:rsidR="009E0985">
        <w:fldChar w:fldCharType="separate"/>
      </w:r>
      <w:r w:rsidR="00D84FAF">
        <w:rPr>
          <w:noProof/>
        </w:rPr>
        <w:t>[</w:t>
      </w:r>
      <w:hyperlink w:anchor="_ENREF_1" w:tooltip="Aitchison, 2003 #95" w:history="1">
        <w:r w:rsidR="00D84FAF">
          <w:rPr>
            <w:noProof/>
          </w:rPr>
          <w:t>1</w:t>
        </w:r>
      </w:hyperlink>
      <w:r w:rsidR="00D84FAF">
        <w:rPr>
          <w:noProof/>
        </w:rPr>
        <w:t>]</w:t>
      </w:r>
      <w:r w:rsidR="009E0985">
        <w:fldChar w:fldCharType="end"/>
      </w:r>
      <w:r w:rsidR="00AA1CC8">
        <w:t xml:space="preserve"> that</w:t>
      </w:r>
      <w:r w:rsidR="007E5B1E">
        <w:t xml:space="preserve"> the information about the absolute abundance can be retrieved through the variance/co-variance structure of the relative abundance.  Similarly, because the noise in the data (from sequencing) is assumed to be comparable between both low and high abundance microbes, normalization </w:t>
      </w:r>
      <w:r w:rsidR="00757072">
        <w:t xml:space="preserve">affects the abundance data differently based on the </w:t>
      </w:r>
      <w:r w:rsidR="007E5B1E">
        <w:t>noise-to-signal ratio</w:t>
      </w:r>
      <w:r w:rsidR="00757072">
        <w:t xml:space="preserve">.  In particular, low absolute abundance microbes are affected more strongly by the noise, thus the variance of the relative abundance is high.  The reverse is true for high abundance microbes.  </w:t>
      </w:r>
      <w:r w:rsidR="00DB2F13">
        <w:t>The variance of the relative abundance directly affects the variability of the correlations between pairs of microbes, which can be observed through the variance of the bootstrap distribution of the correlations</w:t>
      </w:r>
      <w:r w:rsidR="00DE25EB">
        <w:t xml:space="preserve"> as shown through simulations below (Figure SM6)</w:t>
      </w:r>
      <w:r w:rsidR="00DB2F13">
        <w:t>.  Hence, the variability of the bootstrap distribution of the correlation can be utilized as a way to recover information about the absolute abundance of the microbes.</w:t>
      </w:r>
    </w:p>
    <w:p w:rsidR="00CE4306" w:rsidRDefault="00F11655">
      <w:pPr>
        <w:jc w:val="both"/>
      </w:pPr>
      <w:r w:rsidRPr="00DE25EB">
        <w:t xml:space="preserve">To </w:t>
      </w:r>
      <w:r w:rsidR="00321DA7" w:rsidRPr="00DE25EB">
        <w:t xml:space="preserve">demonstrate </w:t>
      </w:r>
      <w:r w:rsidR="00757072" w:rsidRPr="00DE25EB">
        <w:t>the</w:t>
      </w:r>
      <w:r w:rsidR="009E0985" w:rsidRPr="009E0985">
        <w:t xml:space="preserve"> relationship between</w:t>
      </w:r>
      <w:r w:rsidR="00757072" w:rsidRPr="00DE25EB">
        <w:t xml:space="preserve"> </w:t>
      </w:r>
      <w:r w:rsidR="009E0985" w:rsidRPr="009E0985">
        <w:t>the variability</w:t>
      </w:r>
      <w:r w:rsidR="00757072" w:rsidRPr="00DE25EB">
        <w:t xml:space="preserve"> of the bootstrap distribution </w:t>
      </w:r>
      <w:r w:rsidR="009E0985" w:rsidRPr="009E0985">
        <w:t>and</w:t>
      </w:r>
      <w:r w:rsidR="00757072" w:rsidRPr="00DE25EB">
        <w:t xml:space="preserve"> the absolute abundance</w:t>
      </w:r>
      <w:r w:rsidR="00757072">
        <w:t>,</w:t>
      </w:r>
      <w:r>
        <w:t xml:space="preserve"> we performed </w:t>
      </w:r>
      <w:r w:rsidR="00321DA7">
        <w:t xml:space="preserve"> </w:t>
      </w:r>
      <w:r>
        <w:t>a series of simulations in which we monitored the shape of the bootstrap distribution of correlations between two anti-correlated vectors with increasing levels of noise (Figure SM6).</w:t>
      </w:r>
      <w:r w:rsidR="00757072">
        <w:t xml:space="preserve">  </w:t>
      </w:r>
      <w:r>
        <w:t>In particular, for each simulation, we generated a pair</w:t>
      </w:r>
      <w:r w:rsidRPr="009E755F">
        <w:t xml:space="preserve"> of </w:t>
      </w:r>
      <w:r>
        <w:t xml:space="preserve">perfectly anti-correlated </w:t>
      </w:r>
      <w:r w:rsidRPr="009E755F">
        <w:t>vectors (one is &lt;1,2,3,…,1000&gt; and the other &lt;1000,999,998,…,1&gt;).  Normally distributed noise with mean zero and increasing standard deviations (</w:t>
      </w:r>
      <w:r w:rsidR="009734E0">
        <w:t>Figure SM6</w:t>
      </w:r>
      <w:r>
        <w:t>A</w:t>
      </w:r>
      <w:r w:rsidR="009734E0">
        <w:t>:</w:t>
      </w:r>
      <w:r>
        <w:t xml:space="preserve"> </w:t>
      </w:r>
      <w:r w:rsidRPr="009E755F">
        <w:t xml:space="preserve">50, </w:t>
      </w:r>
      <w:r>
        <w:t>B</w:t>
      </w:r>
      <w:r w:rsidR="009734E0">
        <w:t>:</w:t>
      </w:r>
      <w:r>
        <w:t xml:space="preserve"> </w:t>
      </w:r>
      <w:r w:rsidRPr="009E755F">
        <w:t xml:space="preserve">100, </w:t>
      </w:r>
      <w:r>
        <w:t>C</w:t>
      </w:r>
      <w:r w:rsidR="009734E0">
        <w:t>:</w:t>
      </w:r>
      <w:r>
        <w:t xml:space="preserve"> </w:t>
      </w:r>
      <w:r w:rsidRPr="009E755F">
        <w:t xml:space="preserve">1000, and </w:t>
      </w:r>
      <w:r>
        <w:t>D</w:t>
      </w:r>
      <w:r w:rsidR="009734E0">
        <w:t>:</w:t>
      </w:r>
      <w:r>
        <w:t xml:space="preserve"> </w:t>
      </w:r>
      <w:r w:rsidRPr="009E755F">
        <w:t>10000) were added</w:t>
      </w:r>
      <w:r>
        <w:t xml:space="preserve"> to the two vectors</w:t>
      </w:r>
      <w:r w:rsidRPr="009E755F">
        <w:t xml:space="preserve">, and a </w:t>
      </w:r>
      <w:r>
        <w:t xml:space="preserve">bootstrap </w:t>
      </w:r>
      <w:r w:rsidRPr="009E755F">
        <w:t xml:space="preserve">correlation distribution was generated by </w:t>
      </w:r>
      <w:r>
        <w:t xml:space="preserve">bootstrap sampling </w:t>
      </w:r>
      <w:r w:rsidRPr="009E755F">
        <w:t xml:space="preserve">for each </w:t>
      </w:r>
      <w:r>
        <w:t>of the variance (noise) levels.</w:t>
      </w:r>
      <w:r w:rsidRPr="009E755F">
        <w:t xml:space="preserve">  </w:t>
      </w:r>
      <w:r w:rsidR="001F2FC1">
        <w:t>Although our simulation holds the absolute abundance constant and varies the noise level, this is equivalent to holding the noise level constant and var</w:t>
      </w:r>
      <w:r w:rsidR="009734E0">
        <w:t>y</w:t>
      </w:r>
      <w:r w:rsidR="001F2FC1">
        <w:t>i</w:t>
      </w:r>
      <w:r w:rsidR="009734E0">
        <w:t>ng</w:t>
      </w:r>
      <w:r w:rsidR="001F2FC1">
        <w:t xml:space="preserve"> the absolute abundance magnitude.  </w:t>
      </w:r>
      <w:r>
        <w:t>As shown in Figure SM6, a</w:t>
      </w:r>
      <w:r w:rsidRPr="009E755F">
        <w:t xml:space="preserve">s </w:t>
      </w:r>
      <w:r>
        <w:t>signal</w:t>
      </w:r>
      <w:r w:rsidRPr="009E755F">
        <w:t>-to-</w:t>
      </w:r>
      <w:r>
        <w:t>noise</w:t>
      </w:r>
      <w:r w:rsidRPr="009E755F">
        <w:t xml:space="preserve"> increased, the bootstrap distribution widened, and the center shifted toward zero</w:t>
      </w:r>
      <w:r>
        <w:t>, which is the desired characteristic.</w:t>
      </w:r>
    </w:p>
    <w:p w:rsidR="00321DA7" w:rsidRDefault="009E0985" w:rsidP="00321DA7">
      <w:pPr>
        <w:keepNext/>
        <w:jc w:val="center"/>
      </w:pPr>
      <w:r>
        <w:rPr>
          <w:noProof/>
          <w:lang w:eastAsia="en-US" w:bidi="ar-SA"/>
        </w:rPr>
        <w:pict>
          <v:shape id="Text Box 7" o:spid="_x0000_s1051" type="#_x0000_t202" style="position:absolute;left:0;text-align:left;margin-left:-4.65pt;margin-top:114pt;width:29.45pt;height:28.05pt;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" filled="f" stroked="f">
            <v:textbox style="mso-next-textbox:#Text Box 7">
              <w:txbxContent>
                <w:p w:rsidR="00F436F2" w:rsidRPr="007F737D" w:rsidRDefault="00F436F2" w:rsidP="00321DA7">
                  <w:pPr>
                    <w:rPr>
                      <w:sz w:val="24"/>
                      <w:szCs w:val="24"/>
                    </w:rPr>
                  </w:pPr>
                  <w:r>
                    <w:rPr>
                      <w:sz w:val="24"/>
                      <w:szCs w:val="24"/>
                    </w:rPr>
                    <w:t>B</w:t>
                  </w:r>
                </w:p>
              </w:txbxContent>
            </v:textbox>
          </v:shape>
        </w:pict>
      </w:r>
      <w:r>
        <w:rPr>
          <w:noProof/>
          <w:lang w:eastAsia="en-US" w:bidi="ar-SA"/>
        </w:rPr>
        <w:pict>
          <v:shape id="Text Box 8" o:spid="_x0000_s1052" type="#_x0000_t202" style="position:absolute;left:0;text-align:left;margin-left:-3.9pt;margin-top:218.25pt;width:29.45pt;height:28.05pt;z-index:2516746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" filled="f" stroked="f">
            <v:textbox style="mso-next-textbox:#Text Box 8">
              <w:txbxContent>
                <w:p w:rsidR="00F436F2" w:rsidRPr="007F737D" w:rsidRDefault="00F436F2" w:rsidP="00321DA7">
                  <w:pPr>
                    <w:rPr>
                      <w:sz w:val="24"/>
                      <w:szCs w:val="24"/>
                    </w:rPr>
                  </w:pPr>
                  <w:r>
                    <w:rPr>
                      <w:sz w:val="24"/>
                      <w:szCs w:val="24"/>
                    </w:rPr>
                    <w:t>C</w:t>
                  </w:r>
                </w:p>
              </w:txbxContent>
            </v:textbox>
          </v:shape>
        </w:pict>
      </w:r>
      <w:r>
        <w:rPr>
          <w:noProof/>
          <w:lang w:eastAsia="en-US" w:bidi="ar-SA"/>
        </w:rPr>
        <w:pict>
          <v:shape id="Text Box 9" o:spid="_x0000_s1053" type="#_x0000_t202" style="position:absolute;left:0;text-align:left;margin-left:-3.9pt;margin-top:324pt;width:29.45pt;height:28.05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wsQrcCAADA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" filled="f" stroked="f">
            <v:textbox style="mso-next-textbox:#Text Box 9">
              <w:txbxContent>
                <w:p w:rsidR="00F436F2" w:rsidRPr="007F737D" w:rsidRDefault="00F436F2" w:rsidP="00321DA7">
                  <w:pPr>
                    <w:rPr>
                      <w:sz w:val="24"/>
                      <w:szCs w:val="24"/>
                    </w:rPr>
                  </w:pPr>
                  <w:r>
                    <w:rPr>
                      <w:sz w:val="24"/>
                      <w:szCs w:val="24"/>
                    </w:rPr>
                    <w:t>D</w:t>
                  </w:r>
                </w:p>
              </w:txbxContent>
            </v:textbox>
          </v:shape>
        </w:pict>
      </w:r>
      <w:r>
        <w:rPr>
          <w:noProof/>
          <w:lang w:eastAsia="en-US" w:bidi="ar-SA"/>
        </w:rPr>
        <w:pict>
          <v:shape id="Text Box 6" o:spid="_x0000_s1050" type="#_x0000_t202" style="position:absolute;left:0;text-align:left;margin-left:-4.65pt;margin-top:11.25pt;width:29.45pt;height:28.05pt;z-index:2516725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" filled="f" stroked="f">
            <v:textbox style="mso-next-textbox:#Text Box 6">
              <w:txbxContent>
                <w:p w:rsidR="00F436F2" w:rsidRPr="007F737D" w:rsidRDefault="00F436F2" w:rsidP="00321DA7">
                  <w:pPr>
                    <w:rPr>
                      <w:sz w:val="24"/>
                      <w:szCs w:val="24"/>
                    </w:rPr>
                  </w:pPr>
                  <w:r w:rsidRPr="007F737D">
                    <w:rPr>
                      <w:sz w:val="24"/>
                      <w:szCs w:val="24"/>
                    </w:rPr>
                    <w:t>A</w:t>
                  </w:r>
                </w:p>
              </w:txbxContent>
            </v:textbox>
          </v:shape>
        </w:pict>
      </w:r>
      <w:r w:rsidR="00321DA7">
        <w:rPr>
          <w:noProof/>
          <w:lang w:eastAsia="en-US" w:bidi="ar-SA"/>
        </w:rPr>
        <w:drawing>
          <wp:inline distT="0" distB="0" distL="0" distR="0">
            <wp:extent cx="5334000" cy="5334000"/>
            <wp:effectExtent l="19050" t="0" r="0" b="0"/>
            <wp:docPr id="19" name="Picture 2" descr="C:\Users\fah sathirapongsasut\Documents\genome\Human Microbiome Project\analysis\compositionality\noise\boot-one-n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h sathirapongsasut\Documents\genome\Human Microbiome Project\analysis\compositionality\noise\boot-one-noise.png"/>
                    <pic:cNvPicPr>
                      <a:picLocks noChangeAspect="1" noChangeArrowheads="1"/>
                    </pic:cNvPicPr>
                  </pic:nvPicPr>
                  <pic:blipFill>
                    <a:blip r:embed="rId16" cstate="print"/>
                    <a:stretch>
                      <a:fillRect/>
                    </a:stretch>
                  </pic:blipFill>
                  <pic:spPr bwMode="auto">
                    <a:xfrm>
                      <a:off x="0" y="0"/>
                      <a:ext cx="5334000" cy="5334000"/>
                    </a:xfrm>
                    <a:prstGeom prst="rect">
                      <a:avLst/>
                    </a:prstGeom>
                    <a:noFill/>
                    <a:ln w="9525">
                      <a:noFill/>
                      <a:miter lim="800000"/>
                      <a:headEnd/>
                      <a:tailEnd/>
                    </a:ln>
                  </pic:spPr>
                </pic:pic>
              </a:graphicData>
            </a:graphic>
          </wp:inline>
        </w:drawing>
      </w:r>
    </w:p>
    <w:p w:rsidR="00321DA7" w:rsidRDefault="00321DA7" w:rsidP="00321DA7">
      <w:pPr>
        <w:pStyle w:val="Caption"/>
        <w:jc w:val="both"/>
      </w:pPr>
      <w:bookmarkStart w:id="11" w:name="_Ref309942219"/>
      <w:r>
        <w:t>Figure SM</w:t>
      </w:r>
      <w:fldSimple w:instr=" SEQ Figure_S \* ARABIC ">
        <w:r w:rsidR="00AA6C89">
          <w:rPr>
            <w:noProof/>
          </w:rPr>
          <w:t>6</w:t>
        </w:r>
      </w:fldSimple>
      <w:bookmarkEnd w:id="11"/>
      <w:r>
        <w:t xml:space="preserve">  The confidence interval provided by bootstrap assessment of correlations in compositional data scales by the signal-to-noise ratio, and is thus informative for excluding unreliable low-abundance signals</w:t>
      </w:r>
      <w:r w:rsidR="000E4068">
        <w:t xml:space="preserve"> most affected by compositionality</w:t>
      </w:r>
      <w:r>
        <w:t>.</w:t>
      </w:r>
      <w:r w:rsidRPr="009E755F">
        <w:rPr>
          <w:b w:val="0"/>
        </w:rPr>
        <w:t xml:space="preserve">  </w:t>
      </w:r>
      <w:r w:rsidR="0025705C" w:rsidRPr="009E755F">
        <w:rPr>
          <w:b w:val="0"/>
        </w:rPr>
        <w:t xml:space="preserve">A series of pairs of vectors were generated </w:t>
      </w:r>
      <w:r w:rsidR="0025705C">
        <w:rPr>
          <w:b w:val="0"/>
        </w:rPr>
        <w:t>with perfect</w:t>
      </w:r>
      <w:r w:rsidR="0025705C" w:rsidRPr="009E755F">
        <w:rPr>
          <w:b w:val="0"/>
        </w:rPr>
        <w:t xml:space="preserve"> negative correlation</w:t>
      </w:r>
      <w:r w:rsidR="0025705C">
        <w:rPr>
          <w:b w:val="0"/>
        </w:rPr>
        <w:t>s</w:t>
      </w:r>
      <w:r w:rsidR="0025705C" w:rsidRPr="009E755F">
        <w:rPr>
          <w:b w:val="0"/>
        </w:rPr>
        <w:t xml:space="preserve"> (one is &lt;1,2,3,…,1000&gt; and the other &lt;1000,999,998,…,1&gt;).  Normally distributed noise with mean zero and increasing standard deviations (</w:t>
      </w:r>
      <w:r w:rsidR="0025705C">
        <w:rPr>
          <w:b w:val="0"/>
        </w:rPr>
        <w:t xml:space="preserve">A) </w:t>
      </w:r>
      <w:r w:rsidR="0025705C" w:rsidRPr="009E755F">
        <w:rPr>
          <w:b w:val="0"/>
        </w:rPr>
        <w:t xml:space="preserve">50, </w:t>
      </w:r>
      <w:r w:rsidR="0025705C">
        <w:rPr>
          <w:b w:val="0"/>
        </w:rPr>
        <w:t xml:space="preserve">B) </w:t>
      </w:r>
      <w:r w:rsidR="0025705C" w:rsidRPr="009E755F">
        <w:rPr>
          <w:b w:val="0"/>
        </w:rPr>
        <w:t xml:space="preserve">100, </w:t>
      </w:r>
      <w:r w:rsidR="0025705C">
        <w:rPr>
          <w:b w:val="0"/>
        </w:rPr>
        <w:t xml:space="preserve">C) </w:t>
      </w:r>
      <w:r w:rsidR="0025705C" w:rsidRPr="009E755F">
        <w:rPr>
          <w:b w:val="0"/>
        </w:rPr>
        <w:t xml:space="preserve">1000, and </w:t>
      </w:r>
      <w:r w:rsidR="0025705C">
        <w:rPr>
          <w:b w:val="0"/>
        </w:rPr>
        <w:t xml:space="preserve">D) </w:t>
      </w:r>
      <w:r w:rsidR="0025705C" w:rsidRPr="009E755F">
        <w:rPr>
          <w:b w:val="0"/>
        </w:rPr>
        <w:t xml:space="preserve">10000) were added, and a </w:t>
      </w:r>
      <w:r w:rsidR="0025705C">
        <w:rPr>
          <w:b w:val="0"/>
        </w:rPr>
        <w:t xml:space="preserve">bootstrap </w:t>
      </w:r>
      <w:r w:rsidR="0025705C" w:rsidRPr="009E755F">
        <w:rPr>
          <w:b w:val="0"/>
        </w:rPr>
        <w:t xml:space="preserve">correlation distribution was generated by </w:t>
      </w:r>
      <w:r w:rsidR="0025705C">
        <w:rPr>
          <w:b w:val="0"/>
        </w:rPr>
        <w:t>bootstrap sampling</w:t>
      </w:r>
      <w:r w:rsidR="00660DB1">
        <w:rPr>
          <w:b w:val="0"/>
        </w:rPr>
        <w:t xml:space="preserve"> </w:t>
      </w:r>
      <w:r w:rsidR="0025705C" w:rsidRPr="009E755F">
        <w:rPr>
          <w:b w:val="0"/>
        </w:rPr>
        <w:t>for each of the variance (noise) levels.</w:t>
      </w:r>
      <w:r w:rsidRPr="009E755F">
        <w:rPr>
          <w:b w:val="0"/>
        </w:rPr>
        <w:t xml:space="preserve"> As </w:t>
      </w:r>
      <w:r>
        <w:rPr>
          <w:b w:val="0"/>
        </w:rPr>
        <w:t>signal</w:t>
      </w:r>
      <w:r w:rsidRPr="009E755F">
        <w:rPr>
          <w:b w:val="0"/>
        </w:rPr>
        <w:t>-to-</w:t>
      </w:r>
      <w:r>
        <w:rPr>
          <w:b w:val="0"/>
        </w:rPr>
        <w:t>noise</w:t>
      </w:r>
      <w:r w:rsidRPr="009E755F">
        <w:rPr>
          <w:b w:val="0"/>
        </w:rPr>
        <w:t xml:space="preserve"> increased, the bootstrap distribution widened, and the center shifted toward zero.</w:t>
      </w:r>
    </w:p>
    <w:p w:rsidR="0013358B" w:rsidRDefault="0013358B" w:rsidP="00CE4306">
      <w:pPr>
        <w:pStyle w:val="Heading3"/>
        <w:jc w:val="both"/>
      </w:pPr>
      <w:r>
        <w:t>Filtering based on bootstrap confidence interval of R</w:t>
      </w:r>
      <w:r w:rsidR="009E0985" w:rsidRPr="009E0985">
        <w:rPr>
          <w:vertAlign w:val="superscript"/>
        </w:rPr>
        <w:t>2</w:t>
      </w:r>
      <w:r>
        <w:t xml:space="preserve"> prevents over-fitting</w:t>
      </w:r>
      <w:r w:rsidR="009734E0">
        <w:t xml:space="preserve"> in GBLM</w:t>
      </w:r>
    </w:p>
    <w:p w:rsidR="00000000" w:rsidRDefault="00495EB4">
      <w:r>
        <w:t xml:space="preserve">As an additional consideration unrelated to compositionality, we extended our application of the </w:t>
      </w:r>
      <w:proofErr w:type="spellStart"/>
      <w:r>
        <w:t>ReBoot</w:t>
      </w:r>
      <w:proofErr w:type="spellEnd"/>
      <w:r>
        <w:t xml:space="preserve"> procedure to </w:t>
      </w:r>
      <w:proofErr w:type="spellStart"/>
      <w:r>
        <w:t>GBLMs</w:t>
      </w:r>
      <w:proofErr w:type="spellEnd"/>
      <w:r>
        <w:t xml:space="preserve"> to prevent </w:t>
      </w:r>
      <w:proofErr w:type="spellStart"/>
      <w:r>
        <w:t>overfitting</w:t>
      </w:r>
      <w:proofErr w:type="spellEnd"/>
      <w:r>
        <w:t xml:space="preserve"> of these high-dimensional models. </w:t>
      </w:r>
      <w:r w:rsidR="00D0053C" w:rsidRPr="00872F2B">
        <w:t xml:space="preserve">It has been shown that </w:t>
      </w:r>
      <w:r w:rsidR="009B21DD">
        <w:t xml:space="preserve">the </w:t>
      </w:r>
      <w:r w:rsidR="00D0053C" w:rsidRPr="00872F2B">
        <w:t xml:space="preserve">boosting procedure </w:t>
      </w:r>
      <w:r w:rsidR="009B21DD">
        <w:t xml:space="preserve">for linear models </w:t>
      </w:r>
      <w:r w:rsidR="00D0053C" w:rsidRPr="00872F2B">
        <w:t xml:space="preserve">can over-fit in noisy data </w:t>
      </w:r>
      <w:r w:rsidR="009E0985">
        <w:rPr>
          <w:rFonts w:asciiTheme="majorHAnsi" w:eastAsiaTheme="majorEastAsia" w:hAnsiTheme="majorHAnsi" w:cstheme="majorBidi"/>
          <w:b/>
          <w:bCs/>
          <w:color w:val="4F81BD" w:themeColor="accent1"/>
        </w:rPr>
        <w:fldChar w:fldCharType="begin"/>
      </w:r>
      <w:r w:rsidR="00D84FAF">
        <w:instrText xml:space="preserve"> ADDIN EN.CITE &lt;EndNote&gt;&lt;Cite&gt;&lt;Author&gt;Dietterich&lt;/Author&gt;&lt;Year&gt;2000&lt;/Year&gt;&lt;RecNum&gt;124&lt;/RecNum&gt;&lt;DisplayText&gt;[2]&lt;/DisplayText&gt;&lt;record&gt;&lt;rec-number&gt;124&lt;/rec-number&gt;&lt;foreign-keys&gt;&lt;key app="EN" db-id="0aadv9prp59wdgeadww5xxx3dv5w2dfwztxf"&gt;124&lt;/key&gt;&lt;/foreign-keys&gt;&lt;ref-type name="Journal Article"&gt;17&lt;/ref-type&gt;&lt;contributors&gt;&lt;authors&gt;&lt;author&gt;Dietterich, T. G.&lt;/author&gt;&lt;/authors&gt;&lt;/contributors&gt;&lt;auth-address&gt;Dietterich, TG&amp;#xD;Oregon State Univ, Dept Comp Sci, Corvallis, OR 97331 USA&amp;#xD;Oregon State Univ, Dept Comp Sci, Corvallis, OR 97331 USA&amp;#xD;Oregon State Univ, Dept Comp Sci, Corvallis, OR 97331 USA&lt;/auth-address&gt;&lt;titles&gt;&lt;title&gt;An experimental comparison of three methods for constructing ensembles of decision trees: Bagging, boosting, and randomization&lt;/title&gt;&lt;secondary-title&gt;Machine Learning&lt;/secondary-title&gt;&lt;alt-title&gt;Mach Learn&lt;/alt-title&gt;&lt;/titles&gt;&lt;periodical&gt;&lt;full-title&gt;Machine Learning&lt;/full-title&gt;&lt;abbr-1&gt;Mach Learn&lt;/abbr-1&gt;&lt;/periodical&gt;&lt;alt-periodical&gt;&lt;full-title&gt;Machine Learning&lt;/full-title&gt;&lt;abbr-1&gt;Mach Learn&lt;/abbr-1&gt;&lt;/alt-periodical&gt;&lt;pages&gt;139-157&lt;/pages&gt;&lt;volume&gt;40&lt;/volume&gt;&lt;number&gt;2&lt;/number&gt;&lt;keywords&gt;&lt;keyword&gt;decision trees&lt;/keyword&gt;&lt;keyword&gt;ensemble learning&lt;/keyword&gt;&lt;keyword&gt;bagging&lt;/keyword&gt;&lt;keyword&gt;boosting&lt;/keyword&gt;&lt;keyword&gt;c4.5&lt;/keyword&gt;&lt;keyword&gt;monte carlo methods&lt;/keyword&gt;&lt;keyword&gt;algorithms&lt;/keyword&gt;&lt;/keywords&gt;&lt;dates&gt;&lt;year&gt;2000&lt;/year&gt;&lt;pub-dates&gt;&lt;date&gt;Aug&lt;/date&gt;&lt;/pub-dates&gt;&lt;/dates&gt;&lt;isbn&gt;0885-6125&lt;/isbn&gt;&lt;accession-num&gt;ISI:000087371500002&lt;/accession-num&gt;&lt;urls&gt;&lt;related-urls&gt;&lt;url&gt;&amp;lt;Go to ISI&amp;gt;://000087371500002&lt;/url&gt;&lt;/related-urls&gt;&lt;/urls&gt;&lt;language&gt;English&lt;/language&gt;&lt;/record&gt;&lt;/Cite&gt;&lt;/EndNote&gt;</w:instrText>
      </w:r>
      <w:r w:rsidR="009E0985">
        <w:rPr>
          <w:rFonts w:asciiTheme="majorHAnsi" w:eastAsiaTheme="majorEastAsia" w:hAnsiTheme="majorHAnsi" w:cstheme="majorBidi"/>
          <w:b/>
          <w:bCs/>
          <w:color w:val="4F81BD" w:themeColor="accent1"/>
        </w:rPr>
        <w:fldChar w:fldCharType="separate"/>
      </w:r>
      <w:r w:rsidR="00D84FAF">
        <w:rPr>
          <w:noProof/>
        </w:rPr>
        <w:t>[</w:t>
      </w:r>
      <w:hyperlink w:anchor="_ENREF_2" w:tooltip="Dietterich, 2000 #124" w:history="1">
        <w:r w:rsidR="00D84FAF">
          <w:rPr>
            <w:noProof/>
          </w:rPr>
          <w:t>2</w:t>
        </w:r>
      </w:hyperlink>
      <w:r w:rsidR="00D84FAF">
        <w:rPr>
          <w:noProof/>
        </w:rPr>
        <w:t>]</w:t>
      </w:r>
      <w:r w:rsidR="009E0985">
        <w:rPr>
          <w:rFonts w:asciiTheme="majorHAnsi" w:eastAsiaTheme="majorEastAsia" w:hAnsiTheme="majorHAnsi" w:cstheme="majorBidi"/>
          <w:b/>
          <w:bCs/>
          <w:color w:val="4F81BD" w:themeColor="accent1"/>
        </w:rPr>
        <w:fldChar w:fldCharType="end"/>
      </w:r>
      <w:r w:rsidR="00D0053C" w:rsidRPr="00872F2B">
        <w:t xml:space="preserve">, and in the case of our microbial relative abundance data, low abundance microbes can have substantially noisy data </w:t>
      </w:r>
      <w:r w:rsidR="00872F2B">
        <w:t xml:space="preserve">and lead to over-fitting of </w:t>
      </w:r>
      <w:proofErr w:type="spellStart"/>
      <w:r w:rsidR="00872F2B">
        <w:t>GBLM</w:t>
      </w:r>
      <w:r w:rsidR="003B7E16">
        <w:t>s</w:t>
      </w:r>
      <w:proofErr w:type="spellEnd"/>
      <w:r w:rsidR="00872F2B">
        <w:t xml:space="preserve">.  </w:t>
      </w:r>
      <w:r w:rsidR="003F28BF">
        <w:t>I</w:t>
      </w:r>
      <w:r w:rsidR="00321DA7">
        <w:t xml:space="preserve">n assessing significance of </w:t>
      </w:r>
      <w:proofErr w:type="spellStart"/>
      <w:r w:rsidR="00321DA7">
        <w:t>GBLMs</w:t>
      </w:r>
      <w:proofErr w:type="spellEnd"/>
      <w:r w:rsidR="00321DA7">
        <w:t>, we produced bootstrap distribution of adjusted R</w:t>
      </w:r>
      <w:r w:rsidR="00321DA7" w:rsidRPr="009503AC">
        <w:rPr>
          <w:vertAlign w:val="superscript"/>
        </w:rPr>
        <w:t>2</w:t>
      </w:r>
      <w:r w:rsidR="00D316A0">
        <w:t xml:space="preserve"> to be compared with the null distribution</w:t>
      </w:r>
      <w:r w:rsidR="003F28BF">
        <w:t>, the adjustment of which provides a first step favoring simpler models with fewer parameters</w:t>
      </w:r>
      <w:r w:rsidR="00321DA7">
        <w:t xml:space="preserve">.  However, through simulations, we </w:t>
      </w:r>
      <w:r w:rsidR="003F28BF">
        <w:t xml:space="preserve">observed </w:t>
      </w:r>
      <w:r w:rsidR="00321DA7">
        <w:t>that the bootstrap</w:t>
      </w:r>
      <w:r w:rsidR="003F28BF">
        <w:t>ped</w:t>
      </w:r>
      <w:r w:rsidR="00616C4F">
        <w:t xml:space="preserve"> adjusted</w:t>
      </w:r>
      <w:r w:rsidR="00321DA7">
        <w:t xml:space="preserve"> R</w:t>
      </w:r>
      <w:r w:rsidR="00321DA7" w:rsidRPr="009503AC">
        <w:rPr>
          <w:vertAlign w:val="superscript"/>
        </w:rPr>
        <w:t>2</w:t>
      </w:r>
      <w:r w:rsidR="00321DA7">
        <w:t xml:space="preserve"> </w:t>
      </w:r>
      <w:r w:rsidR="003F28BF">
        <w:t>could in many cases remain</w:t>
      </w:r>
      <w:r w:rsidR="00321DA7">
        <w:t xml:space="preserve"> elevated, </w:t>
      </w:r>
      <w:r w:rsidR="003F28BF">
        <w:t xml:space="preserve">making </w:t>
      </w:r>
      <w:r w:rsidR="00321DA7">
        <w:t xml:space="preserve">the bootstrap confidence interval a poor estimate of the </w:t>
      </w:r>
      <w:r w:rsidR="003F28BF">
        <w:t xml:space="preserve">true </w:t>
      </w:r>
      <w:r w:rsidR="00616C4F">
        <w:t>adjusted</w:t>
      </w:r>
      <w:r w:rsidR="00321DA7">
        <w:t xml:space="preserve"> R</w:t>
      </w:r>
      <w:r w:rsidR="00321DA7" w:rsidRPr="009503AC">
        <w:rPr>
          <w:vertAlign w:val="superscript"/>
        </w:rPr>
        <w:t>2</w:t>
      </w:r>
      <w:r w:rsidR="00321DA7">
        <w:t xml:space="preserve"> </w:t>
      </w:r>
      <w:r w:rsidR="003F28BF">
        <w:t xml:space="preserve">and </w:t>
      </w:r>
      <w:r w:rsidR="00321DA7">
        <w:t xml:space="preserve">leading to </w:t>
      </w:r>
      <w:r w:rsidR="003F28BF">
        <w:t xml:space="preserve">potential </w:t>
      </w:r>
      <w:r w:rsidR="00321DA7">
        <w:t>false positives.</w:t>
      </w:r>
      <w:r w:rsidR="00767B72">
        <w:t xml:space="preserve"> </w:t>
      </w:r>
      <w:r w:rsidR="009E0985">
        <w:fldChar w:fldCharType="begin"/>
      </w:r>
      <w:r w:rsidR="00E86D6F">
        <w:instrText xml:space="preserve"> REF _Ref320815078 \h </w:instrText>
      </w:r>
      <w:r w:rsidR="009E0985">
        <w:fldChar w:fldCharType="separate"/>
      </w:r>
      <w:r w:rsidR="00D84FAF">
        <w:t>Figure SM</w:t>
      </w:r>
      <w:r w:rsidR="00D84FAF">
        <w:rPr>
          <w:noProof/>
        </w:rPr>
        <w:t>7</w:t>
      </w:r>
      <w:r w:rsidR="009E0985">
        <w:fldChar w:fldCharType="end"/>
      </w:r>
      <w:r w:rsidR="00D234D6">
        <w:t xml:space="preserve"> </w:t>
      </w:r>
      <w:r w:rsidR="00321DA7">
        <w:t>illustrates t</w:t>
      </w:r>
      <w:r w:rsidR="00924291">
        <w:t>h</w:t>
      </w:r>
      <w:r w:rsidR="00767B72">
        <w:t>is</w:t>
      </w:r>
      <w:r w:rsidR="00301BCB">
        <w:t xml:space="preserve"> </w:t>
      </w:r>
      <w:r w:rsidR="00767B72">
        <w:t>in</w:t>
      </w:r>
      <w:r w:rsidR="007B270F">
        <w:t xml:space="preserve"> simulations</w:t>
      </w:r>
      <w:r w:rsidR="00767B72">
        <w:t xml:space="preserve">, using </w:t>
      </w:r>
      <w:r w:rsidR="007B270F">
        <w:t xml:space="preserve">data as in </w:t>
      </w:r>
      <w:fldSimple w:instr=" REF _Ref310066056 \h  \* MERGEFORMAT ">
        <w:r w:rsidR="0043449B" w:rsidRPr="00AE73C4">
          <w:t>Figure SM5</w:t>
        </w:r>
      </w:fldSimple>
      <w:r w:rsidR="007B270F">
        <w:t xml:space="preserve"> and </w:t>
      </w:r>
      <w:r w:rsidR="00767B72">
        <w:t xml:space="preserve">resulting in </w:t>
      </w:r>
      <w:r w:rsidR="007B270F">
        <w:t>an over-fitted linear model</w:t>
      </w:r>
      <w:r w:rsidR="00321DA7">
        <w:t xml:space="preserve">  </w:t>
      </w:r>
      <w:r w:rsidR="007B270F">
        <w:t xml:space="preserve">b1 ~ b3 + (12 other non-informative terms). In the over-fitted model, the bootstrap distributions </w:t>
      </w:r>
      <w:r w:rsidR="00D84FAF">
        <w:t>were</w:t>
      </w:r>
      <w:r w:rsidR="007B270F">
        <w:t xml:space="preserve"> not centered at the original R</w:t>
      </w:r>
      <w:r w:rsidR="007B270F" w:rsidRPr="009503AC">
        <w:rPr>
          <w:vertAlign w:val="superscript"/>
        </w:rPr>
        <w:t>2</w:t>
      </w:r>
      <w:r w:rsidR="007B270F">
        <w:t>/adjusted R</w:t>
      </w:r>
      <w:r w:rsidR="007B270F" w:rsidRPr="009503AC">
        <w:rPr>
          <w:vertAlign w:val="superscript"/>
        </w:rPr>
        <w:t>2</w:t>
      </w:r>
      <w:r w:rsidR="007B270F">
        <w:rPr>
          <w:vertAlign w:val="superscript"/>
        </w:rPr>
        <w:t xml:space="preserve"> </w:t>
      </w:r>
      <w:r w:rsidR="007B270F">
        <w:t>values, but overinflated.</w:t>
      </w:r>
      <w:r w:rsidR="007B323C">
        <w:t xml:space="preserve">  Note also that the bias </w:t>
      </w:r>
      <w:r w:rsidR="0031551F">
        <w:t>occurs both in</w:t>
      </w:r>
      <w:r w:rsidR="007B323C">
        <w:t xml:space="preserve"> R</w:t>
      </w:r>
      <w:r w:rsidR="007B323C" w:rsidRPr="009503AC">
        <w:rPr>
          <w:vertAlign w:val="superscript"/>
        </w:rPr>
        <w:t>2</w:t>
      </w:r>
      <w:r w:rsidR="007B323C">
        <w:t xml:space="preserve"> and adjusted R</w:t>
      </w:r>
      <w:r w:rsidR="007B323C" w:rsidRPr="009503AC">
        <w:rPr>
          <w:vertAlign w:val="superscript"/>
        </w:rPr>
        <w:t>2</w:t>
      </w:r>
      <w:r w:rsidR="007B323C">
        <w:t xml:space="preserve"> </w:t>
      </w:r>
      <w:r w:rsidR="0031551F">
        <w:t xml:space="preserve">estimates, </w:t>
      </w:r>
      <w:r w:rsidR="007B323C">
        <w:t>as the number of predictors in the model is the same between the original model and the bootstrap models and does not correct the bias discussed here.</w:t>
      </w:r>
      <w:r w:rsidR="0031551F">
        <w:t xml:space="preserve"> Thus, t</w:t>
      </w:r>
      <w:r w:rsidR="00081155">
        <w:t xml:space="preserve">o avoid </w:t>
      </w:r>
      <w:r w:rsidR="00D316A0" w:rsidRPr="00602BC7">
        <w:t xml:space="preserve">including </w:t>
      </w:r>
      <w:proofErr w:type="spellStart"/>
      <w:r w:rsidR="00D316A0" w:rsidRPr="00602BC7">
        <w:t>overfit</w:t>
      </w:r>
      <w:proofErr w:type="spellEnd"/>
      <w:r w:rsidR="00D316A0" w:rsidRPr="00602BC7">
        <w:t xml:space="preserve"> </w:t>
      </w:r>
      <w:proofErr w:type="spellStart"/>
      <w:r w:rsidR="00D316A0" w:rsidRPr="00602BC7">
        <w:t>GBLMs</w:t>
      </w:r>
      <w:proofErr w:type="spellEnd"/>
      <w:r w:rsidR="00081155">
        <w:t xml:space="preserve"> in later analyses</w:t>
      </w:r>
      <w:r w:rsidR="00D316A0" w:rsidRPr="00602BC7">
        <w:t xml:space="preserve">, we </w:t>
      </w:r>
      <w:r w:rsidR="0031551F">
        <w:t>retained only</w:t>
      </w:r>
      <w:r w:rsidR="00D84FAF">
        <w:t xml:space="preserve"> </w:t>
      </w:r>
      <w:proofErr w:type="spellStart"/>
      <w:r w:rsidR="00D84FAF">
        <w:t>GBLM</w:t>
      </w:r>
      <w:r w:rsidR="0031551F">
        <w:t>s</w:t>
      </w:r>
      <w:proofErr w:type="spellEnd"/>
      <w:r w:rsidR="00D316A0" w:rsidRPr="00602BC7">
        <w:t xml:space="preserve"> whose bootstrap 90% confidence interval</w:t>
      </w:r>
      <w:r w:rsidR="00081155">
        <w:t xml:space="preserve">s </w:t>
      </w:r>
      <w:r w:rsidR="00D316A0" w:rsidRPr="00602BC7">
        <w:t>include</w:t>
      </w:r>
      <w:r w:rsidR="0031551F">
        <w:t>d</w:t>
      </w:r>
      <w:r w:rsidR="00D316A0" w:rsidRPr="00602BC7">
        <w:t xml:space="preserve"> the true (observed) R</w:t>
      </w:r>
      <w:r w:rsidR="00D316A0" w:rsidRPr="00602BC7">
        <w:rPr>
          <w:vertAlign w:val="superscript"/>
        </w:rPr>
        <w:t xml:space="preserve">2 </w:t>
      </w:r>
      <w:r w:rsidR="00D316A0" w:rsidRPr="00602BC7">
        <w:t>value</w:t>
      </w:r>
      <w:r w:rsidR="0031551F">
        <w:t xml:space="preserve"> assessed on all training data</w:t>
      </w:r>
      <w:r w:rsidR="00D316A0" w:rsidRPr="00602BC7">
        <w:t>.</w:t>
      </w:r>
    </w:p>
    <w:p w:rsidR="00321DA7" w:rsidRPr="007F0BFF" w:rsidRDefault="00321DA7" w:rsidP="007F0BFF">
      <w:pPr>
        <w:keepNext/>
        <w:jc w:val="both"/>
      </w:pPr>
      <w:r>
        <w:t>A</w:t>
      </w:r>
      <w:r>
        <w:rPr>
          <w:noProof/>
          <w:lang w:eastAsia="en-US" w:bidi="ar-SA"/>
        </w:rPr>
        <w:drawing>
          <wp:inline distT="0" distB="0" distL="0" distR="0">
            <wp:extent cx="2886075" cy="2785088"/>
            <wp:effectExtent l="19050" t="0" r="9525" b="0"/>
            <wp:docPr id="20" name="Picture 3" descr="C:\Users\fah sathirapongsasut\Documents\genome\Human Microbiome Project\analysis\compositionality\bootstrapVsLM.notspa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h sathirapongsasut\Documents\genome\Human Microbiome Project\analysis\compositionality\bootstrapVsLM.notsparse.png"/>
                    <pic:cNvPicPr>
                      <a:picLocks noChangeAspect="1" noChangeArrowheads="1"/>
                    </pic:cNvPicPr>
                  </pic:nvPicPr>
                  <pic:blipFill>
                    <a:blip r:embed="rId17" cstate="print"/>
                    <a:srcRect/>
                    <a:stretch>
                      <a:fillRect/>
                    </a:stretch>
                  </pic:blipFill>
                  <pic:spPr bwMode="auto">
                    <a:xfrm>
                      <a:off x="0" y="0"/>
                      <a:ext cx="2888247" cy="2787184"/>
                    </a:xfrm>
                    <a:prstGeom prst="rect">
                      <a:avLst/>
                    </a:prstGeom>
                    <a:noFill/>
                    <a:ln w="9525">
                      <a:noFill/>
                      <a:miter lim="800000"/>
                      <a:headEnd/>
                      <a:tailEnd/>
                    </a:ln>
                  </pic:spPr>
                </pic:pic>
              </a:graphicData>
            </a:graphic>
          </wp:inline>
        </w:drawing>
      </w:r>
      <w:r>
        <w:t>B</w:t>
      </w:r>
      <w:r>
        <w:rPr>
          <w:noProof/>
          <w:lang w:eastAsia="en-US" w:bidi="ar-SA"/>
        </w:rPr>
        <w:drawing>
          <wp:inline distT="0" distB="0" distL="0" distR="0">
            <wp:extent cx="2762250" cy="2757254"/>
            <wp:effectExtent l="19050" t="0" r="0" b="0"/>
            <wp:docPr id="21" name="Picture 4" descr="C:\Users\fah sathirapongsasut\Documents\genome\Human Microbiome Project\analysis\compositionality\bootstrapVsLM.spa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h sathirapongsasut\Documents\genome\Human Microbiome Project\analysis\compositionality\bootstrapVsLM.sparse.png"/>
                    <pic:cNvPicPr>
                      <a:picLocks noChangeAspect="1" noChangeArrowheads="1"/>
                    </pic:cNvPicPr>
                  </pic:nvPicPr>
                  <pic:blipFill>
                    <a:blip r:embed="rId18" cstate="print"/>
                    <a:srcRect/>
                    <a:stretch>
                      <a:fillRect/>
                    </a:stretch>
                  </pic:blipFill>
                  <pic:spPr bwMode="auto">
                    <a:xfrm>
                      <a:off x="0" y="0"/>
                      <a:ext cx="2770170" cy="2765160"/>
                    </a:xfrm>
                    <a:prstGeom prst="rect">
                      <a:avLst/>
                    </a:prstGeom>
                    <a:noFill/>
                    <a:ln w="9525">
                      <a:noFill/>
                      <a:miter lim="800000"/>
                      <a:headEnd/>
                      <a:tailEnd/>
                    </a:ln>
                  </pic:spPr>
                </pic:pic>
              </a:graphicData>
            </a:graphic>
          </wp:inline>
        </w:drawing>
      </w:r>
    </w:p>
    <w:p w:rsidR="00321DA7" w:rsidRPr="009E755F" w:rsidRDefault="00321DA7" w:rsidP="00321DA7">
      <w:pPr>
        <w:pStyle w:val="Caption"/>
        <w:jc w:val="both"/>
        <w:rPr>
          <w:b w:val="0"/>
        </w:rPr>
      </w:pPr>
      <w:bookmarkStart w:id="12" w:name="_Ref320815078"/>
      <w:r>
        <w:t>Figure SM</w:t>
      </w:r>
      <w:fldSimple w:instr=" SEQ Figure_S \* ARABIC ">
        <w:r w:rsidR="00A509BC">
          <w:rPr>
            <w:noProof/>
          </w:rPr>
          <w:t>7</w:t>
        </w:r>
      </w:fldSimple>
      <w:bookmarkEnd w:id="12"/>
      <w:r>
        <w:t xml:space="preserve">  The bootstrap confidence interval for a sparse linear model can be a biased estimator of </w:t>
      </w:r>
      <w:r w:rsidR="008132F3">
        <w:t xml:space="preserve">adjusted </w:t>
      </w:r>
      <w:r>
        <w:t>R</w:t>
      </w:r>
      <w:r w:rsidRPr="009503AC">
        <w:rPr>
          <w:vertAlign w:val="superscript"/>
        </w:rPr>
        <w:t>2</w:t>
      </w:r>
      <w:r w:rsidRPr="009E755F">
        <w:rPr>
          <w:b w:val="0"/>
        </w:rPr>
        <w:t xml:space="preserve">.  </w:t>
      </w:r>
      <w:r w:rsidR="008132F3">
        <w:rPr>
          <w:b w:val="0"/>
        </w:rPr>
        <w:t xml:space="preserve">Here, we use </w:t>
      </w:r>
      <w:r w:rsidRPr="009E755F">
        <w:rPr>
          <w:b w:val="0"/>
        </w:rPr>
        <w:t xml:space="preserve">the </w:t>
      </w:r>
      <w:r w:rsidR="008132F3">
        <w:rPr>
          <w:b w:val="0"/>
        </w:rPr>
        <w:t>data of</w:t>
      </w:r>
      <w:r w:rsidRPr="009E755F">
        <w:rPr>
          <w:b w:val="0"/>
        </w:rPr>
        <w:t xml:space="preserve"> </w:t>
      </w:r>
      <w:fldSimple w:instr=" REF _Ref310066056 \h  \* MERGEFORMAT ">
        <w:r w:rsidR="009E0985" w:rsidRPr="009E0985">
          <w:rPr>
            <w:b w:val="0"/>
          </w:rPr>
          <w:t>Figure SM5</w:t>
        </w:r>
      </w:fldSimple>
      <w:r w:rsidR="008132F3">
        <w:rPr>
          <w:b w:val="0"/>
        </w:rPr>
        <w:t xml:space="preserve"> in a GBLM</w:t>
      </w:r>
      <w:r w:rsidRPr="009E755F">
        <w:rPr>
          <w:b w:val="0"/>
        </w:rPr>
        <w:t xml:space="preserve"> predicting b1 relative abundance by the model: b1 ~ b3 + (12 other non-informative, low-abundance terms)</w:t>
      </w:r>
      <w:r w:rsidR="008132F3">
        <w:rPr>
          <w:b w:val="0"/>
        </w:rPr>
        <w:t xml:space="preserve">. </w:t>
      </w:r>
      <w:r w:rsidR="009E0985" w:rsidRPr="009E0985">
        <w:rPr>
          <w:b w:val="0"/>
        </w:rPr>
        <w:t>R</w:t>
      </w:r>
      <w:r w:rsidR="009E0985" w:rsidRPr="009E0985">
        <w:rPr>
          <w:b w:val="0"/>
          <w:vertAlign w:val="superscript"/>
        </w:rPr>
        <w:t>2</w:t>
      </w:r>
      <w:r w:rsidR="009E0985" w:rsidRPr="009E0985">
        <w:rPr>
          <w:b w:val="0"/>
        </w:rPr>
        <w:t xml:space="preserve"> (blue) and adjusted R</w:t>
      </w:r>
      <w:r w:rsidR="009E0985" w:rsidRPr="009E0985">
        <w:rPr>
          <w:b w:val="0"/>
          <w:vertAlign w:val="superscript"/>
        </w:rPr>
        <w:t>2</w:t>
      </w:r>
      <w:r w:rsidR="009E0985" w:rsidRPr="009E0985">
        <w:rPr>
          <w:b w:val="0"/>
        </w:rPr>
        <w:t xml:space="preserve"> (red) based on the original data are shown </w:t>
      </w:r>
      <w:r w:rsidR="008132F3">
        <w:rPr>
          <w:b w:val="0"/>
        </w:rPr>
        <w:t>as</w:t>
      </w:r>
      <w:r w:rsidR="009E0985" w:rsidRPr="009E0985">
        <w:rPr>
          <w:b w:val="0"/>
        </w:rPr>
        <w:t xml:space="preserve"> vertical lines and the bootstrap distributions are plotted as curves.</w:t>
      </w:r>
      <w:r w:rsidRPr="009E755F">
        <w:rPr>
          <w:b w:val="0"/>
        </w:rPr>
        <w:t xml:space="preserve"> </w:t>
      </w:r>
      <w:r w:rsidR="008132F3">
        <w:rPr>
          <w:b w:val="0"/>
        </w:rPr>
        <w:t>(A) uses dense (nonzero) synthetic data and</w:t>
      </w:r>
      <w:r w:rsidRPr="009E755F">
        <w:rPr>
          <w:b w:val="0"/>
        </w:rPr>
        <w:t xml:space="preserve"> (B) </w:t>
      </w:r>
      <w:r w:rsidR="008132F3">
        <w:rPr>
          <w:b w:val="0"/>
        </w:rPr>
        <w:t>demonstrates</w:t>
      </w:r>
      <w:r w:rsidR="008132F3" w:rsidRPr="009E755F">
        <w:rPr>
          <w:b w:val="0"/>
        </w:rPr>
        <w:t xml:space="preserve"> </w:t>
      </w:r>
      <w:r w:rsidRPr="009E755F">
        <w:rPr>
          <w:b w:val="0"/>
        </w:rPr>
        <w:t>the case when the auxiliary predictors are sparse (&gt;50% of the samples have zero abundance).  The similarity between (A) and (B) suggests that the bias is independent of the sparsity of the predictors.</w:t>
      </w:r>
      <w:r w:rsidR="005640B5">
        <w:rPr>
          <w:b w:val="0"/>
        </w:rPr>
        <w:t xml:space="preserve"> In our application of </w:t>
      </w:r>
      <w:proofErr w:type="spellStart"/>
      <w:r w:rsidR="005640B5">
        <w:rPr>
          <w:b w:val="0"/>
        </w:rPr>
        <w:t>GBLMs</w:t>
      </w:r>
      <w:proofErr w:type="spellEnd"/>
      <w:r w:rsidR="005640B5">
        <w:rPr>
          <w:b w:val="0"/>
        </w:rPr>
        <w:t>, t</w:t>
      </w:r>
      <w:r w:rsidR="005640B5" w:rsidRPr="005640B5">
        <w:rPr>
          <w:b w:val="0"/>
        </w:rPr>
        <w:t xml:space="preserve">o avoid including </w:t>
      </w:r>
      <w:proofErr w:type="spellStart"/>
      <w:r w:rsidR="005640B5" w:rsidRPr="005640B5">
        <w:rPr>
          <w:b w:val="0"/>
        </w:rPr>
        <w:t>overfit</w:t>
      </w:r>
      <w:r w:rsidR="005640B5">
        <w:rPr>
          <w:b w:val="0"/>
        </w:rPr>
        <w:t>ting</w:t>
      </w:r>
      <w:proofErr w:type="spellEnd"/>
      <w:r w:rsidR="005640B5" w:rsidRPr="005640B5">
        <w:rPr>
          <w:b w:val="0"/>
        </w:rPr>
        <w:t xml:space="preserve">, we </w:t>
      </w:r>
      <w:r w:rsidR="005640B5">
        <w:rPr>
          <w:b w:val="0"/>
        </w:rPr>
        <w:t xml:space="preserve">thus </w:t>
      </w:r>
      <w:r w:rsidR="005640B5" w:rsidRPr="005640B5">
        <w:rPr>
          <w:b w:val="0"/>
        </w:rPr>
        <w:t xml:space="preserve">retained only </w:t>
      </w:r>
      <w:r w:rsidR="005640B5">
        <w:rPr>
          <w:b w:val="0"/>
        </w:rPr>
        <w:t>models with</w:t>
      </w:r>
      <w:r w:rsidR="005640B5" w:rsidRPr="005640B5">
        <w:rPr>
          <w:b w:val="0"/>
        </w:rPr>
        <w:t xml:space="preserve"> bootstrap 9</w:t>
      </w:r>
      <w:r w:rsidR="005640B5">
        <w:rPr>
          <w:b w:val="0"/>
        </w:rPr>
        <w:t>0% confidence intervals including</w:t>
      </w:r>
      <w:r w:rsidR="005640B5" w:rsidRPr="005640B5">
        <w:rPr>
          <w:b w:val="0"/>
        </w:rPr>
        <w:t xml:space="preserve"> the R</w:t>
      </w:r>
      <w:r w:rsidR="009E0985" w:rsidRPr="009E0985">
        <w:rPr>
          <w:b w:val="0"/>
          <w:vertAlign w:val="superscript"/>
        </w:rPr>
        <w:t>2</w:t>
      </w:r>
      <w:r w:rsidR="005640B5" w:rsidRPr="005640B5">
        <w:rPr>
          <w:b w:val="0"/>
        </w:rPr>
        <w:t xml:space="preserve"> </w:t>
      </w:r>
      <w:r w:rsidR="005640B5">
        <w:rPr>
          <w:b w:val="0"/>
        </w:rPr>
        <w:t>observed</w:t>
      </w:r>
      <w:r w:rsidR="005640B5" w:rsidRPr="005640B5">
        <w:rPr>
          <w:b w:val="0"/>
        </w:rPr>
        <w:t xml:space="preserve"> </w:t>
      </w:r>
      <w:r w:rsidR="005640B5">
        <w:rPr>
          <w:b w:val="0"/>
        </w:rPr>
        <w:t>from</w:t>
      </w:r>
      <w:r w:rsidR="005640B5" w:rsidRPr="005640B5">
        <w:rPr>
          <w:b w:val="0"/>
        </w:rPr>
        <w:t xml:space="preserve"> all training data.</w:t>
      </w:r>
    </w:p>
    <w:p w:rsidR="00321DA7" w:rsidRDefault="00321DA7" w:rsidP="00321DA7">
      <w:pPr>
        <w:pStyle w:val="Heading3"/>
        <w:jc w:val="both"/>
      </w:pPr>
      <w:proofErr w:type="spellStart"/>
      <w:r>
        <w:t>Aitchinson’s</w:t>
      </w:r>
      <w:proofErr w:type="spellEnd"/>
      <w:r>
        <w:t xml:space="preserve"> log-ratio-based measure </w:t>
      </w:r>
      <w:r w:rsidR="00B90F05">
        <w:t>clusters</w:t>
      </w:r>
      <w:r>
        <w:t xml:space="preserve"> with </w:t>
      </w:r>
      <w:proofErr w:type="spellStart"/>
      <w:r w:rsidRPr="00F22532">
        <w:t>Kullback-Leibler</w:t>
      </w:r>
      <w:proofErr w:type="spellEnd"/>
      <w:r>
        <w:t xml:space="preserve"> </w:t>
      </w:r>
      <w:r w:rsidR="00B90F05">
        <w:t>dissimilarity</w:t>
      </w:r>
    </w:p>
    <w:p w:rsidR="00B90F05" w:rsidRDefault="00981B36" w:rsidP="00321DA7">
      <w:pPr>
        <w:keepNext/>
        <w:jc w:val="both"/>
      </w:pPr>
      <w:r>
        <w:rPr>
          <w:noProof/>
        </w:rPr>
        <w:t xml:space="preserve">We close with a brief comment on the use of </w:t>
      </w:r>
      <w:proofErr w:type="spellStart"/>
      <w:r w:rsidR="00321DA7">
        <w:t>Aitchinson</w:t>
      </w:r>
      <w:r>
        <w:t>'s</w:t>
      </w:r>
      <w:proofErr w:type="spellEnd"/>
      <w:r w:rsidR="00321DA7">
        <w:t xml:space="preserve"> proposed variance of log ratios to assess relationships between parts of compositions </w:t>
      </w:r>
      <w:r w:rsidR="009E0985">
        <w:fldChar w:fldCharType="begin"/>
      </w:r>
      <w:r w:rsidR="00D84FAF">
        <w:instrText xml:space="preserve"> ADDIN EN.CITE &lt;EndNote&gt;&lt;Cite&gt;&lt;Author&gt;Aitchison&lt;/Author&gt;&lt;Year&gt;2003&lt;/Year&gt;&lt;RecNum&gt;95&lt;/RecNum&gt;&lt;DisplayText&gt;[1]&lt;/DisplayText&gt;&lt;record&gt;&lt;rec-number&gt;95&lt;/rec-number&gt;&lt;foreign-keys&gt;&lt;key app="EN" db-id="0aadv9prp59wdgeadww5xxx3dv5w2dfwztxf"&gt;95&lt;/key&gt;&lt;/foreign-keys&gt;&lt;ref-type name="Conference Paper"&gt;47&lt;/ref-type&gt;&lt;contributors&gt;&lt;authors&gt;&lt;author&gt;J Aitchison&lt;/author&gt;&lt;/authors&gt;&lt;/contributors&gt;&lt;titles&gt;&lt;title&gt;A Concise Guide to Compositional Data Analysis&lt;/title&gt;&lt;secondary-title&gt;CDA Workshop Girona&lt;/secondary-title&gt;&lt;/titles&gt;&lt;dates&gt;&lt;year&gt;2003&lt;/year&gt;&lt;/dates&gt;&lt;urls&gt;&lt;/urls&gt;&lt;/record&gt;&lt;/Cite&gt;&lt;/EndNote&gt;</w:instrText>
      </w:r>
      <w:r w:rsidR="009E0985">
        <w:fldChar w:fldCharType="separate"/>
      </w:r>
      <w:r w:rsidR="00D84FAF">
        <w:rPr>
          <w:noProof/>
        </w:rPr>
        <w:t>[</w:t>
      </w:r>
      <w:hyperlink w:anchor="_ENREF_1" w:tooltip="Aitchison, 2003 #95" w:history="1">
        <w:r w:rsidR="00D84FAF">
          <w:rPr>
            <w:noProof/>
          </w:rPr>
          <w:t>1</w:t>
        </w:r>
      </w:hyperlink>
      <w:r w:rsidR="00D84FAF">
        <w:rPr>
          <w:noProof/>
        </w:rPr>
        <w:t>]</w:t>
      </w:r>
      <w:r w:rsidR="009E0985">
        <w:fldChar w:fldCharType="end"/>
      </w:r>
      <w:r w:rsidR="00B90F05">
        <w:t>:</w:t>
      </w:r>
      <w:r w:rsidR="00321DA7">
        <w:t xml:space="preserve"> </w:t>
      </w:r>
    </w:p>
    <w:p w:rsidR="00B90F05" w:rsidRDefault="00B90F05" w:rsidP="00B90F05">
      <w:pPr>
        <w:keepNext/>
        <w:jc w:val="both"/>
      </w:pPr>
      <w:r w:rsidRPr="001F6437">
        <w:rPr>
          <w:position w:val="-28"/>
        </w:rPr>
        <w:object w:dxaOrig="1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5pt;height:35.35pt" o:ole="">
            <v:imagedata r:id="rId19" o:title=""/>
          </v:shape>
          <o:OLEObject Type="Embed" ProgID="Equation.3" ShapeID="_x0000_i1025" DrawAspect="Content" ObjectID="_1271487265" r:id="rId20"/>
        </w:object>
      </w:r>
    </w:p>
    <w:p w:rsidR="00B90F05" w:rsidRDefault="00B90F05" w:rsidP="00B90F05">
      <w:pPr>
        <w:keepNext/>
        <w:jc w:val="both"/>
      </w:pPr>
      <w:r>
        <w:t xml:space="preserve">This measure is zero if the ratio of two components is the same in all observed compositions and is increasing (without upper bound) with increasing variance of the ratio. The variance of log ratios can therefore be considered as a dissimilarity measure. </w:t>
      </w:r>
    </w:p>
    <w:p w:rsidR="00861454" w:rsidRDefault="00B90F05" w:rsidP="00861454">
      <w:r>
        <w:t xml:space="preserve">We applied the variance of log ratios to the Houston sample subset and compared the 1,000 highest- and 1,000 lowest-scoring relationships to those obtained with six other similarity and dissimilarity measures in the same data set. We found that the variance of log-ratios clustered together with other dissimilarities in terms of edge overlap, such as the Bray Curtis dissimilarity and the Euclidean distance, but shares most edges with the </w:t>
      </w:r>
      <w:proofErr w:type="spellStart"/>
      <w:r>
        <w:t>Kullback-Leibler</w:t>
      </w:r>
      <w:proofErr w:type="spellEnd"/>
      <w:r>
        <w:t xml:space="preserve"> dissimilarity (see Supplemental Figure 6). </w:t>
      </w:r>
      <w:r w:rsidR="00F62AC9">
        <w:t xml:space="preserve">Because of its similarity to </w:t>
      </w:r>
      <w:proofErr w:type="spellStart"/>
      <w:r w:rsidR="00321DA7">
        <w:t>Kullback-Leibler</w:t>
      </w:r>
      <w:proofErr w:type="spellEnd"/>
      <w:r w:rsidR="00321DA7">
        <w:t xml:space="preserve">, we did not include </w:t>
      </w:r>
      <w:r w:rsidR="003F3247">
        <w:t>th</w:t>
      </w:r>
      <w:r w:rsidR="00F62AC9">
        <w:t xml:space="preserve">e </w:t>
      </w:r>
      <w:r w:rsidR="00321DA7">
        <w:t>variance of log-ratios</w:t>
      </w:r>
      <w:r w:rsidR="00F62AC9">
        <w:t xml:space="preserve"> in our analysis</w:t>
      </w:r>
      <w:r w:rsidR="00321DA7">
        <w:t xml:space="preserve">.  </w:t>
      </w:r>
      <w:bookmarkStart w:id="13" w:name="_GoBack"/>
      <w:bookmarkEnd w:id="13"/>
    </w:p>
    <w:p w:rsidR="00000000" w:rsidRDefault="009E0985">
      <w:pPr>
        <w:pStyle w:val="Heading1"/>
        <w:spacing w:before="0"/>
        <w:jc w:val="both"/>
        <w:rPr>
          <w:sz w:val="22"/>
        </w:rPr>
      </w:pPr>
      <w:r w:rsidRPr="009E0985">
        <w:rPr>
          <w:sz w:val="22"/>
        </w:rPr>
        <w:t>References</w:t>
      </w:r>
    </w:p>
    <w:p w:rsidR="00D84FAF" w:rsidRPr="00707044" w:rsidRDefault="009E0985" w:rsidP="00D84FAF">
      <w:pPr>
        <w:pStyle w:val="Caption"/>
        <w:spacing w:after="0"/>
        <w:ind w:left="720" w:hanging="720"/>
        <w:jc w:val="both"/>
        <w:rPr>
          <w:rFonts w:ascii="Calibri" w:hAnsi="Calibri" w:cs="Calibri"/>
          <w:noProof/>
          <w:sz w:val="14"/>
        </w:rPr>
      </w:pPr>
      <w:r w:rsidRPr="009E0985">
        <w:rPr>
          <w:sz w:val="14"/>
        </w:rPr>
        <w:fldChar w:fldCharType="begin"/>
      </w:r>
      <w:r w:rsidRPr="009E0985">
        <w:rPr>
          <w:sz w:val="14"/>
        </w:rPr>
        <w:instrText xml:space="preserve"> ADDIN EN.REFLIST </w:instrText>
      </w:r>
      <w:r w:rsidRPr="009E0985">
        <w:rPr>
          <w:sz w:val="14"/>
        </w:rPr>
        <w:fldChar w:fldCharType="separate"/>
      </w:r>
      <w:bookmarkStart w:id="14" w:name="_ENREF_1"/>
      <w:r w:rsidRPr="009E0985">
        <w:rPr>
          <w:rFonts w:ascii="Calibri" w:hAnsi="Calibri" w:cs="Calibri"/>
          <w:noProof/>
          <w:sz w:val="14"/>
        </w:rPr>
        <w:t>1. Aitchison J (2003) A Concise Guide to Compositional Data Analysis. CDA Workshop Girona.</w:t>
      </w:r>
      <w:bookmarkEnd w:id="14"/>
    </w:p>
    <w:p w:rsidR="00D84FAF" w:rsidRPr="00707044" w:rsidRDefault="009E0985" w:rsidP="00D84FAF">
      <w:pPr>
        <w:pStyle w:val="Caption"/>
        <w:ind w:left="720" w:hanging="720"/>
        <w:jc w:val="both"/>
        <w:rPr>
          <w:rFonts w:ascii="Calibri" w:hAnsi="Calibri" w:cs="Calibri"/>
          <w:noProof/>
          <w:sz w:val="14"/>
        </w:rPr>
      </w:pPr>
      <w:bookmarkStart w:id="15" w:name="_ENREF_2"/>
      <w:r w:rsidRPr="009E0985">
        <w:rPr>
          <w:rFonts w:ascii="Calibri" w:hAnsi="Calibri" w:cs="Calibri"/>
          <w:noProof/>
          <w:sz w:val="14"/>
        </w:rPr>
        <w:t>2. Dietterich TG (2000) An experimental comparison of three methods for constructing ensembles of decision trees: Bagging, boosting, and randomization. Machine Learning 40: 139-157.</w:t>
      </w:r>
      <w:bookmarkEnd w:id="15"/>
    </w:p>
    <w:p w:rsidR="009E755F" w:rsidRPr="00707044" w:rsidRDefault="009E0985" w:rsidP="009E755F">
      <w:pPr>
        <w:pStyle w:val="Caption"/>
        <w:jc w:val="both"/>
        <w:rPr>
          <w:sz w:val="16"/>
        </w:rPr>
      </w:pPr>
      <w:r w:rsidRPr="009E0985">
        <w:rPr>
          <w:sz w:val="14"/>
        </w:rPr>
        <w:fldChar w:fldCharType="end"/>
      </w:r>
    </w:p>
    <w:sectPr w:rsidR="009E755F" w:rsidRPr="00707044" w:rsidSect="00AE4DCE">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056" w:rsidRDefault="00430056" w:rsidP="00707044">
      <w:pPr>
        <w:spacing w:after="0" w:line="240" w:lineRule="auto"/>
      </w:pPr>
      <w:r>
        <w:separator/>
      </w:r>
    </w:p>
  </w:endnote>
  <w:endnote w:type="continuationSeparator" w:id="0">
    <w:p w:rsidR="00430056" w:rsidRDefault="00430056" w:rsidP="00707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rdia New">
    <w:charset w:val="00"/>
    <w:family w:val="swiss"/>
    <w:pitch w:val="variable"/>
    <w:sig w:usb0="81000003" w:usb1="00000000" w:usb2="00000000" w:usb3="00000000" w:csb0="0001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ngsana New">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056" w:rsidRDefault="00430056" w:rsidP="00707044">
      <w:pPr>
        <w:spacing w:after="0" w:line="240" w:lineRule="auto"/>
      </w:pPr>
      <w:r>
        <w:separator/>
      </w:r>
    </w:p>
  </w:footnote>
  <w:footnote w:type="continuationSeparator" w:id="0">
    <w:p w:rsidR="00430056" w:rsidRDefault="00430056" w:rsidP="0070704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46204"/>
    <w:multiLevelType w:val="hybridMultilevel"/>
    <w:tmpl w:val="0636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A585B"/>
    <w:multiLevelType w:val="hybridMultilevel"/>
    <w:tmpl w:val="B70E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oNotTrackMoves/>
  <w:defaultTabStop w:val="720"/>
  <w:characterSpacingControl w:val="doNotCompress"/>
  <w:footnotePr>
    <w:footnote w:id="-1"/>
    <w:footnote w:id="0"/>
  </w:footnotePr>
  <w:endnotePr>
    <w:endnote w:id="-1"/>
    <w:endnote w:id="0"/>
  </w:endnotePr>
  <w:compat>
    <w:applyBreakingRules/>
    <w:useFELayout/>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0aadv9prp59wdgeadww5xxx3dv5w2dfwztxf&quot;&gt;relationship&lt;record-ids&gt;&lt;item&gt;95&lt;/item&gt;&lt;item&gt;124&lt;/item&gt;&lt;/record-ids&gt;&lt;/item&gt;&lt;/Libraries&gt;"/>
  </w:docVars>
  <w:rsids>
    <w:rsidRoot w:val="006D7476"/>
    <w:rsid w:val="00003964"/>
    <w:rsid w:val="00013C19"/>
    <w:rsid w:val="00015582"/>
    <w:rsid w:val="00020630"/>
    <w:rsid w:val="00021D3D"/>
    <w:rsid w:val="00022B6E"/>
    <w:rsid w:val="000540B7"/>
    <w:rsid w:val="0006203E"/>
    <w:rsid w:val="00067F5E"/>
    <w:rsid w:val="00071057"/>
    <w:rsid w:val="000729B5"/>
    <w:rsid w:val="00077858"/>
    <w:rsid w:val="00081155"/>
    <w:rsid w:val="00086643"/>
    <w:rsid w:val="00086F6A"/>
    <w:rsid w:val="00095C33"/>
    <w:rsid w:val="000A41AB"/>
    <w:rsid w:val="000A663C"/>
    <w:rsid w:val="000A6E80"/>
    <w:rsid w:val="000B2158"/>
    <w:rsid w:val="000C1EEE"/>
    <w:rsid w:val="000C46CF"/>
    <w:rsid w:val="000C4EA8"/>
    <w:rsid w:val="000D18A6"/>
    <w:rsid w:val="000E4068"/>
    <w:rsid w:val="000E5B1F"/>
    <w:rsid w:val="000E66C9"/>
    <w:rsid w:val="000F4E74"/>
    <w:rsid w:val="000F6E50"/>
    <w:rsid w:val="001001E3"/>
    <w:rsid w:val="00104CD8"/>
    <w:rsid w:val="00112F9D"/>
    <w:rsid w:val="00123DC8"/>
    <w:rsid w:val="0012456E"/>
    <w:rsid w:val="00124F86"/>
    <w:rsid w:val="00130565"/>
    <w:rsid w:val="00131C50"/>
    <w:rsid w:val="00132EAA"/>
    <w:rsid w:val="0013358B"/>
    <w:rsid w:val="00140F7F"/>
    <w:rsid w:val="0014701D"/>
    <w:rsid w:val="00154283"/>
    <w:rsid w:val="00157C43"/>
    <w:rsid w:val="001623EC"/>
    <w:rsid w:val="0016342B"/>
    <w:rsid w:val="00163D8B"/>
    <w:rsid w:val="00164785"/>
    <w:rsid w:val="00166067"/>
    <w:rsid w:val="0016651F"/>
    <w:rsid w:val="00167DFA"/>
    <w:rsid w:val="00172513"/>
    <w:rsid w:val="00173DEE"/>
    <w:rsid w:val="00174E77"/>
    <w:rsid w:val="00175631"/>
    <w:rsid w:val="00175B0A"/>
    <w:rsid w:val="00175DB6"/>
    <w:rsid w:val="00181F61"/>
    <w:rsid w:val="001865D9"/>
    <w:rsid w:val="00190CC3"/>
    <w:rsid w:val="00195D72"/>
    <w:rsid w:val="001A2AC6"/>
    <w:rsid w:val="001A4C4B"/>
    <w:rsid w:val="001B2C7F"/>
    <w:rsid w:val="001B3823"/>
    <w:rsid w:val="001B5563"/>
    <w:rsid w:val="001B7153"/>
    <w:rsid w:val="001B7F49"/>
    <w:rsid w:val="001B7F4B"/>
    <w:rsid w:val="001C2241"/>
    <w:rsid w:val="001C2886"/>
    <w:rsid w:val="001C4ED7"/>
    <w:rsid w:val="001D17DA"/>
    <w:rsid w:val="001D42EA"/>
    <w:rsid w:val="001D5A4C"/>
    <w:rsid w:val="001F03D2"/>
    <w:rsid w:val="001F2FC1"/>
    <w:rsid w:val="001F358E"/>
    <w:rsid w:val="00205C03"/>
    <w:rsid w:val="00206452"/>
    <w:rsid w:val="00207970"/>
    <w:rsid w:val="00210B8F"/>
    <w:rsid w:val="00221B10"/>
    <w:rsid w:val="0022264E"/>
    <w:rsid w:val="0023410C"/>
    <w:rsid w:val="002349E3"/>
    <w:rsid w:val="002373BC"/>
    <w:rsid w:val="00241E37"/>
    <w:rsid w:val="00242756"/>
    <w:rsid w:val="00243C4A"/>
    <w:rsid w:val="00245BB7"/>
    <w:rsid w:val="002512C9"/>
    <w:rsid w:val="00253F79"/>
    <w:rsid w:val="0025705C"/>
    <w:rsid w:val="0026097B"/>
    <w:rsid w:val="00270B3A"/>
    <w:rsid w:val="00280BE3"/>
    <w:rsid w:val="00282636"/>
    <w:rsid w:val="002907A6"/>
    <w:rsid w:val="002959AC"/>
    <w:rsid w:val="002A7E90"/>
    <w:rsid w:val="002B5CA1"/>
    <w:rsid w:val="002B760F"/>
    <w:rsid w:val="002C1BC1"/>
    <w:rsid w:val="002C4D35"/>
    <w:rsid w:val="002C5837"/>
    <w:rsid w:val="002C6FAD"/>
    <w:rsid w:val="002C7785"/>
    <w:rsid w:val="002D09C9"/>
    <w:rsid w:val="002D2422"/>
    <w:rsid w:val="002D2D5E"/>
    <w:rsid w:val="002D4C64"/>
    <w:rsid w:val="002D5F4A"/>
    <w:rsid w:val="002E0150"/>
    <w:rsid w:val="002E6CCD"/>
    <w:rsid w:val="002E7905"/>
    <w:rsid w:val="002E7CAA"/>
    <w:rsid w:val="002F5BBC"/>
    <w:rsid w:val="00300073"/>
    <w:rsid w:val="00301BCB"/>
    <w:rsid w:val="0031551F"/>
    <w:rsid w:val="00317C0E"/>
    <w:rsid w:val="00320562"/>
    <w:rsid w:val="003207A7"/>
    <w:rsid w:val="00321DA7"/>
    <w:rsid w:val="00322B33"/>
    <w:rsid w:val="003302F4"/>
    <w:rsid w:val="003341D5"/>
    <w:rsid w:val="0033500D"/>
    <w:rsid w:val="0033529D"/>
    <w:rsid w:val="00342622"/>
    <w:rsid w:val="00342768"/>
    <w:rsid w:val="00344C2E"/>
    <w:rsid w:val="00353190"/>
    <w:rsid w:val="0035792A"/>
    <w:rsid w:val="00357A2D"/>
    <w:rsid w:val="003635C1"/>
    <w:rsid w:val="00367F7E"/>
    <w:rsid w:val="003710FF"/>
    <w:rsid w:val="003732E9"/>
    <w:rsid w:val="0038011E"/>
    <w:rsid w:val="003824F9"/>
    <w:rsid w:val="00383C01"/>
    <w:rsid w:val="003845B7"/>
    <w:rsid w:val="00385B6F"/>
    <w:rsid w:val="003864CC"/>
    <w:rsid w:val="00386741"/>
    <w:rsid w:val="0039284C"/>
    <w:rsid w:val="0039573D"/>
    <w:rsid w:val="003965D7"/>
    <w:rsid w:val="003972D5"/>
    <w:rsid w:val="003A4637"/>
    <w:rsid w:val="003A5603"/>
    <w:rsid w:val="003A7D9C"/>
    <w:rsid w:val="003B261F"/>
    <w:rsid w:val="003B47D7"/>
    <w:rsid w:val="003B7E16"/>
    <w:rsid w:val="003C1B70"/>
    <w:rsid w:val="003C3E78"/>
    <w:rsid w:val="003D025D"/>
    <w:rsid w:val="003D1AA8"/>
    <w:rsid w:val="003D5A61"/>
    <w:rsid w:val="003D6DA1"/>
    <w:rsid w:val="003D78C6"/>
    <w:rsid w:val="003E112C"/>
    <w:rsid w:val="003E38F1"/>
    <w:rsid w:val="003E6BB9"/>
    <w:rsid w:val="003E763A"/>
    <w:rsid w:val="003F28BF"/>
    <w:rsid w:val="003F3247"/>
    <w:rsid w:val="00400A02"/>
    <w:rsid w:val="004045D8"/>
    <w:rsid w:val="004122B8"/>
    <w:rsid w:val="0041298C"/>
    <w:rsid w:val="00412C46"/>
    <w:rsid w:val="0041414B"/>
    <w:rsid w:val="00417ABF"/>
    <w:rsid w:val="004235DC"/>
    <w:rsid w:val="00426474"/>
    <w:rsid w:val="00427952"/>
    <w:rsid w:val="00430056"/>
    <w:rsid w:val="004319B0"/>
    <w:rsid w:val="0043449B"/>
    <w:rsid w:val="00440ECE"/>
    <w:rsid w:val="0044453A"/>
    <w:rsid w:val="00446375"/>
    <w:rsid w:val="00446C7D"/>
    <w:rsid w:val="0045271E"/>
    <w:rsid w:val="004575D8"/>
    <w:rsid w:val="00461D3D"/>
    <w:rsid w:val="004633C3"/>
    <w:rsid w:val="00467606"/>
    <w:rsid w:val="00472958"/>
    <w:rsid w:val="00480F20"/>
    <w:rsid w:val="00481B5D"/>
    <w:rsid w:val="00484CCF"/>
    <w:rsid w:val="00484EED"/>
    <w:rsid w:val="0048623F"/>
    <w:rsid w:val="00491DEC"/>
    <w:rsid w:val="00493537"/>
    <w:rsid w:val="00495B59"/>
    <w:rsid w:val="00495EB4"/>
    <w:rsid w:val="00496D22"/>
    <w:rsid w:val="004A0662"/>
    <w:rsid w:val="004A1A8E"/>
    <w:rsid w:val="004A41E0"/>
    <w:rsid w:val="004A6EC9"/>
    <w:rsid w:val="004B3894"/>
    <w:rsid w:val="004B39D1"/>
    <w:rsid w:val="004B7319"/>
    <w:rsid w:val="004C16DA"/>
    <w:rsid w:val="004C1872"/>
    <w:rsid w:val="004C2E1F"/>
    <w:rsid w:val="004C5E9C"/>
    <w:rsid w:val="004D6731"/>
    <w:rsid w:val="004D7C82"/>
    <w:rsid w:val="004E526E"/>
    <w:rsid w:val="004E5B10"/>
    <w:rsid w:val="004E6755"/>
    <w:rsid w:val="004E6A37"/>
    <w:rsid w:val="004F640C"/>
    <w:rsid w:val="00503F21"/>
    <w:rsid w:val="0050506E"/>
    <w:rsid w:val="00512126"/>
    <w:rsid w:val="005216FC"/>
    <w:rsid w:val="00527ED3"/>
    <w:rsid w:val="00531ED2"/>
    <w:rsid w:val="00531FB3"/>
    <w:rsid w:val="005449F6"/>
    <w:rsid w:val="0054609C"/>
    <w:rsid w:val="00546E43"/>
    <w:rsid w:val="005478DD"/>
    <w:rsid w:val="00550118"/>
    <w:rsid w:val="005508DC"/>
    <w:rsid w:val="00551BE9"/>
    <w:rsid w:val="00554B09"/>
    <w:rsid w:val="00562073"/>
    <w:rsid w:val="00562F18"/>
    <w:rsid w:val="005634FC"/>
    <w:rsid w:val="005640B5"/>
    <w:rsid w:val="00566578"/>
    <w:rsid w:val="00570AB1"/>
    <w:rsid w:val="00580C4E"/>
    <w:rsid w:val="00580F75"/>
    <w:rsid w:val="00587C81"/>
    <w:rsid w:val="0059290B"/>
    <w:rsid w:val="005959A9"/>
    <w:rsid w:val="00595B6E"/>
    <w:rsid w:val="005A21B6"/>
    <w:rsid w:val="005A24F8"/>
    <w:rsid w:val="005A39F7"/>
    <w:rsid w:val="005A3AD4"/>
    <w:rsid w:val="005A42C6"/>
    <w:rsid w:val="005A4982"/>
    <w:rsid w:val="005A7CAF"/>
    <w:rsid w:val="005B1CFC"/>
    <w:rsid w:val="005B1DE1"/>
    <w:rsid w:val="005B452D"/>
    <w:rsid w:val="005C5968"/>
    <w:rsid w:val="005D0E5B"/>
    <w:rsid w:val="005D4C7C"/>
    <w:rsid w:val="005D5184"/>
    <w:rsid w:val="005D5C1B"/>
    <w:rsid w:val="005D636C"/>
    <w:rsid w:val="005E0473"/>
    <w:rsid w:val="005E1D2A"/>
    <w:rsid w:val="005F197B"/>
    <w:rsid w:val="005F2C9F"/>
    <w:rsid w:val="005F705D"/>
    <w:rsid w:val="005F75B2"/>
    <w:rsid w:val="005F7A1B"/>
    <w:rsid w:val="00600747"/>
    <w:rsid w:val="0060272B"/>
    <w:rsid w:val="00604CBE"/>
    <w:rsid w:val="00605B35"/>
    <w:rsid w:val="00606EA1"/>
    <w:rsid w:val="0061047D"/>
    <w:rsid w:val="00611F8E"/>
    <w:rsid w:val="00614C7A"/>
    <w:rsid w:val="006168B5"/>
    <w:rsid w:val="00616C4F"/>
    <w:rsid w:val="00620077"/>
    <w:rsid w:val="006251CC"/>
    <w:rsid w:val="00627F94"/>
    <w:rsid w:val="00641A54"/>
    <w:rsid w:val="00645584"/>
    <w:rsid w:val="00654590"/>
    <w:rsid w:val="0065504A"/>
    <w:rsid w:val="006602E3"/>
    <w:rsid w:val="00660DB1"/>
    <w:rsid w:val="00662DE6"/>
    <w:rsid w:val="00666911"/>
    <w:rsid w:val="0067297A"/>
    <w:rsid w:val="006735F7"/>
    <w:rsid w:val="006814E6"/>
    <w:rsid w:val="00683335"/>
    <w:rsid w:val="00684340"/>
    <w:rsid w:val="00686471"/>
    <w:rsid w:val="0069066F"/>
    <w:rsid w:val="0069147F"/>
    <w:rsid w:val="0069421C"/>
    <w:rsid w:val="00697CF2"/>
    <w:rsid w:val="006A5C11"/>
    <w:rsid w:val="006B347D"/>
    <w:rsid w:val="006B3DA2"/>
    <w:rsid w:val="006C3C59"/>
    <w:rsid w:val="006C592C"/>
    <w:rsid w:val="006C739E"/>
    <w:rsid w:val="006C778D"/>
    <w:rsid w:val="006D5CDD"/>
    <w:rsid w:val="006D7476"/>
    <w:rsid w:val="006E34A9"/>
    <w:rsid w:val="006E4735"/>
    <w:rsid w:val="006E4F18"/>
    <w:rsid w:val="006E63A5"/>
    <w:rsid w:val="006E7E79"/>
    <w:rsid w:val="006F1F3A"/>
    <w:rsid w:val="00705DF2"/>
    <w:rsid w:val="00707044"/>
    <w:rsid w:val="007100C1"/>
    <w:rsid w:val="007123B7"/>
    <w:rsid w:val="0071305A"/>
    <w:rsid w:val="00725431"/>
    <w:rsid w:val="00726836"/>
    <w:rsid w:val="0073000B"/>
    <w:rsid w:val="0073046E"/>
    <w:rsid w:val="00732841"/>
    <w:rsid w:val="00736697"/>
    <w:rsid w:val="00742FC5"/>
    <w:rsid w:val="0075108C"/>
    <w:rsid w:val="00753848"/>
    <w:rsid w:val="007547C2"/>
    <w:rsid w:val="00757072"/>
    <w:rsid w:val="00760642"/>
    <w:rsid w:val="00767B72"/>
    <w:rsid w:val="007700A3"/>
    <w:rsid w:val="0077736E"/>
    <w:rsid w:val="00784303"/>
    <w:rsid w:val="007930F3"/>
    <w:rsid w:val="00794624"/>
    <w:rsid w:val="0079571D"/>
    <w:rsid w:val="007A0840"/>
    <w:rsid w:val="007A0940"/>
    <w:rsid w:val="007A7C31"/>
    <w:rsid w:val="007B270F"/>
    <w:rsid w:val="007B323C"/>
    <w:rsid w:val="007B3C53"/>
    <w:rsid w:val="007C720D"/>
    <w:rsid w:val="007D1178"/>
    <w:rsid w:val="007D3F2A"/>
    <w:rsid w:val="007E07BC"/>
    <w:rsid w:val="007E2E88"/>
    <w:rsid w:val="007E5B1E"/>
    <w:rsid w:val="007E7337"/>
    <w:rsid w:val="007F0BFF"/>
    <w:rsid w:val="007F737D"/>
    <w:rsid w:val="008008FC"/>
    <w:rsid w:val="00802F28"/>
    <w:rsid w:val="00806160"/>
    <w:rsid w:val="00806F29"/>
    <w:rsid w:val="008132F3"/>
    <w:rsid w:val="008146A4"/>
    <w:rsid w:val="00817721"/>
    <w:rsid w:val="00821A12"/>
    <w:rsid w:val="00822174"/>
    <w:rsid w:val="00822AB0"/>
    <w:rsid w:val="008246D0"/>
    <w:rsid w:val="008253A0"/>
    <w:rsid w:val="008278B7"/>
    <w:rsid w:val="00827ADA"/>
    <w:rsid w:val="00830A12"/>
    <w:rsid w:val="00831ABE"/>
    <w:rsid w:val="00840DBF"/>
    <w:rsid w:val="0084300C"/>
    <w:rsid w:val="00845C7C"/>
    <w:rsid w:val="008460EE"/>
    <w:rsid w:val="0084650E"/>
    <w:rsid w:val="0085181F"/>
    <w:rsid w:val="008559AA"/>
    <w:rsid w:val="00861454"/>
    <w:rsid w:val="008678AD"/>
    <w:rsid w:val="00872F2B"/>
    <w:rsid w:val="0088192B"/>
    <w:rsid w:val="00884D61"/>
    <w:rsid w:val="0088741D"/>
    <w:rsid w:val="00892F03"/>
    <w:rsid w:val="00897C10"/>
    <w:rsid w:val="008A0E6C"/>
    <w:rsid w:val="008A6A21"/>
    <w:rsid w:val="008B1F9A"/>
    <w:rsid w:val="008B24FD"/>
    <w:rsid w:val="008C0016"/>
    <w:rsid w:val="008C16DE"/>
    <w:rsid w:val="008C2AB4"/>
    <w:rsid w:val="008C32F1"/>
    <w:rsid w:val="008D13DE"/>
    <w:rsid w:val="008D6B7D"/>
    <w:rsid w:val="008E56A5"/>
    <w:rsid w:val="008E76E3"/>
    <w:rsid w:val="008F1F26"/>
    <w:rsid w:val="008F4F09"/>
    <w:rsid w:val="008F5815"/>
    <w:rsid w:val="009047C0"/>
    <w:rsid w:val="00907C0C"/>
    <w:rsid w:val="009129DF"/>
    <w:rsid w:val="00913B96"/>
    <w:rsid w:val="00920B9E"/>
    <w:rsid w:val="00923FC2"/>
    <w:rsid w:val="00924291"/>
    <w:rsid w:val="00924EAE"/>
    <w:rsid w:val="009254A2"/>
    <w:rsid w:val="00925D36"/>
    <w:rsid w:val="0093543C"/>
    <w:rsid w:val="00937856"/>
    <w:rsid w:val="00941308"/>
    <w:rsid w:val="00941973"/>
    <w:rsid w:val="009503AC"/>
    <w:rsid w:val="009546DE"/>
    <w:rsid w:val="00965135"/>
    <w:rsid w:val="00972AD3"/>
    <w:rsid w:val="00972FEE"/>
    <w:rsid w:val="009734E0"/>
    <w:rsid w:val="00975773"/>
    <w:rsid w:val="009818C6"/>
    <w:rsid w:val="00981B36"/>
    <w:rsid w:val="0098291B"/>
    <w:rsid w:val="009927FC"/>
    <w:rsid w:val="00994392"/>
    <w:rsid w:val="0099709A"/>
    <w:rsid w:val="009A6DA6"/>
    <w:rsid w:val="009B0B69"/>
    <w:rsid w:val="009B21DD"/>
    <w:rsid w:val="009B28A6"/>
    <w:rsid w:val="009C15DC"/>
    <w:rsid w:val="009C2DA2"/>
    <w:rsid w:val="009E0081"/>
    <w:rsid w:val="009E0985"/>
    <w:rsid w:val="009E17E6"/>
    <w:rsid w:val="009E1C01"/>
    <w:rsid w:val="009E489D"/>
    <w:rsid w:val="009E755F"/>
    <w:rsid w:val="009F60AF"/>
    <w:rsid w:val="009F686B"/>
    <w:rsid w:val="00A224BA"/>
    <w:rsid w:val="00A22B75"/>
    <w:rsid w:val="00A27D9B"/>
    <w:rsid w:val="00A36F79"/>
    <w:rsid w:val="00A40718"/>
    <w:rsid w:val="00A435EC"/>
    <w:rsid w:val="00A45D65"/>
    <w:rsid w:val="00A45F25"/>
    <w:rsid w:val="00A46F13"/>
    <w:rsid w:val="00A5033E"/>
    <w:rsid w:val="00A509BC"/>
    <w:rsid w:val="00A611D6"/>
    <w:rsid w:val="00A613A6"/>
    <w:rsid w:val="00A614CC"/>
    <w:rsid w:val="00A6159F"/>
    <w:rsid w:val="00A6521D"/>
    <w:rsid w:val="00A710B6"/>
    <w:rsid w:val="00A734C8"/>
    <w:rsid w:val="00A73E1B"/>
    <w:rsid w:val="00A77E0F"/>
    <w:rsid w:val="00A958F1"/>
    <w:rsid w:val="00A962C8"/>
    <w:rsid w:val="00AA1CC8"/>
    <w:rsid w:val="00AA322D"/>
    <w:rsid w:val="00AA3527"/>
    <w:rsid w:val="00AA6C89"/>
    <w:rsid w:val="00AB1FC2"/>
    <w:rsid w:val="00AB2C05"/>
    <w:rsid w:val="00AD0DA6"/>
    <w:rsid w:val="00AD3BD7"/>
    <w:rsid w:val="00AD5AB8"/>
    <w:rsid w:val="00AE13B5"/>
    <w:rsid w:val="00AE4DCE"/>
    <w:rsid w:val="00AE6637"/>
    <w:rsid w:val="00AF3768"/>
    <w:rsid w:val="00B07038"/>
    <w:rsid w:val="00B10480"/>
    <w:rsid w:val="00B124E3"/>
    <w:rsid w:val="00B216AE"/>
    <w:rsid w:val="00B21B5F"/>
    <w:rsid w:val="00B2237F"/>
    <w:rsid w:val="00B24C37"/>
    <w:rsid w:val="00B25B20"/>
    <w:rsid w:val="00B26676"/>
    <w:rsid w:val="00B316FA"/>
    <w:rsid w:val="00B4275D"/>
    <w:rsid w:val="00B43D6E"/>
    <w:rsid w:val="00B46FB0"/>
    <w:rsid w:val="00B51069"/>
    <w:rsid w:val="00B514D5"/>
    <w:rsid w:val="00B5610C"/>
    <w:rsid w:val="00B5610E"/>
    <w:rsid w:val="00B576E3"/>
    <w:rsid w:val="00B60E0D"/>
    <w:rsid w:val="00B61C0D"/>
    <w:rsid w:val="00B6233A"/>
    <w:rsid w:val="00B636C4"/>
    <w:rsid w:val="00B65C4E"/>
    <w:rsid w:val="00B7149E"/>
    <w:rsid w:val="00B72FE6"/>
    <w:rsid w:val="00B75E2E"/>
    <w:rsid w:val="00B773E6"/>
    <w:rsid w:val="00B816DE"/>
    <w:rsid w:val="00B84586"/>
    <w:rsid w:val="00B8765B"/>
    <w:rsid w:val="00B87B17"/>
    <w:rsid w:val="00B90F05"/>
    <w:rsid w:val="00B94088"/>
    <w:rsid w:val="00B96BD9"/>
    <w:rsid w:val="00B96E82"/>
    <w:rsid w:val="00BA2D66"/>
    <w:rsid w:val="00BA5AFF"/>
    <w:rsid w:val="00BC2683"/>
    <w:rsid w:val="00BC4361"/>
    <w:rsid w:val="00BC4D0A"/>
    <w:rsid w:val="00BD2314"/>
    <w:rsid w:val="00BD5E0D"/>
    <w:rsid w:val="00BF6589"/>
    <w:rsid w:val="00C020D6"/>
    <w:rsid w:val="00C024EE"/>
    <w:rsid w:val="00C07ACB"/>
    <w:rsid w:val="00C07BB2"/>
    <w:rsid w:val="00C11C11"/>
    <w:rsid w:val="00C1675B"/>
    <w:rsid w:val="00C230B8"/>
    <w:rsid w:val="00C23B0C"/>
    <w:rsid w:val="00C31BD1"/>
    <w:rsid w:val="00C33339"/>
    <w:rsid w:val="00C33499"/>
    <w:rsid w:val="00C341DC"/>
    <w:rsid w:val="00C343AC"/>
    <w:rsid w:val="00C35A48"/>
    <w:rsid w:val="00C35BB5"/>
    <w:rsid w:val="00C37297"/>
    <w:rsid w:val="00C43C4B"/>
    <w:rsid w:val="00C444A5"/>
    <w:rsid w:val="00C45573"/>
    <w:rsid w:val="00C4588A"/>
    <w:rsid w:val="00C60995"/>
    <w:rsid w:val="00C67AD1"/>
    <w:rsid w:val="00C717D8"/>
    <w:rsid w:val="00C72ACA"/>
    <w:rsid w:val="00C804DC"/>
    <w:rsid w:val="00C8302E"/>
    <w:rsid w:val="00C834C1"/>
    <w:rsid w:val="00C86502"/>
    <w:rsid w:val="00C93734"/>
    <w:rsid w:val="00C94B70"/>
    <w:rsid w:val="00C9648F"/>
    <w:rsid w:val="00CA0285"/>
    <w:rsid w:val="00CA5FB5"/>
    <w:rsid w:val="00CA63E0"/>
    <w:rsid w:val="00CA6523"/>
    <w:rsid w:val="00CB19BC"/>
    <w:rsid w:val="00CB1FAF"/>
    <w:rsid w:val="00CC2467"/>
    <w:rsid w:val="00CD2059"/>
    <w:rsid w:val="00CD2BC4"/>
    <w:rsid w:val="00CD7614"/>
    <w:rsid w:val="00CD7705"/>
    <w:rsid w:val="00CE4306"/>
    <w:rsid w:val="00CE57CC"/>
    <w:rsid w:val="00CF079C"/>
    <w:rsid w:val="00CF5198"/>
    <w:rsid w:val="00CF5FBA"/>
    <w:rsid w:val="00CF7019"/>
    <w:rsid w:val="00D0053C"/>
    <w:rsid w:val="00D114A4"/>
    <w:rsid w:val="00D12D90"/>
    <w:rsid w:val="00D166C3"/>
    <w:rsid w:val="00D20E63"/>
    <w:rsid w:val="00D234D6"/>
    <w:rsid w:val="00D30F4B"/>
    <w:rsid w:val="00D316A0"/>
    <w:rsid w:val="00D348BB"/>
    <w:rsid w:val="00D34F7E"/>
    <w:rsid w:val="00D42581"/>
    <w:rsid w:val="00D43411"/>
    <w:rsid w:val="00D50D5C"/>
    <w:rsid w:val="00D51163"/>
    <w:rsid w:val="00D530AE"/>
    <w:rsid w:val="00D614F3"/>
    <w:rsid w:val="00D61CE2"/>
    <w:rsid w:val="00D643CE"/>
    <w:rsid w:val="00D656B2"/>
    <w:rsid w:val="00D67163"/>
    <w:rsid w:val="00D72FD5"/>
    <w:rsid w:val="00D76919"/>
    <w:rsid w:val="00D84FAF"/>
    <w:rsid w:val="00D87AF5"/>
    <w:rsid w:val="00D87E80"/>
    <w:rsid w:val="00D92A53"/>
    <w:rsid w:val="00D971B9"/>
    <w:rsid w:val="00DA054A"/>
    <w:rsid w:val="00DA7218"/>
    <w:rsid w:val="00DA7574"/>
    <w:rsid w:val="00DB004A"/>
    <w:rsid w:val="00DB2610"/>
    <w:rsid w:val="00DB2F13"/>
    <w:rsid w:val="00DB3ACC"/>
    <w:rsid w:val="00DC17D1"/>
    <w:rsid w:val="00DD3A98"/>
    <w:rsid w:val="00DE25EB"/>
    <w:rsid w:val="00DE7FDF"/>
    <w:rsid w:val="00DF5DE1"/>
    <w:rsid w:val="00DF72EF"/>
    <w:rsid w:val="00E006ED"/>
    <w:rsid w:val="00E05064"/>
    <w:rsid w:val="00E06441"/>
    <w:rsid w:val="00E26523"/>
    <w:rsid w:val="00E36E8D"/>
    <w:rsid w:val="00E37838"/>
    <w:rsid w:val="00E4022D"/>
    <w:rsid w:val="00E43C2C"/>
    <w:rsid w:val="00E46167"/>
    <w:rsid w:val="00E46D3C"/>
    <w:rsid w:val="00E53F63"/>
    <w:rsid w:val="00E54441"/>
    <w:rsid w:val="00E549EB"/>
    <w:rsid w:val="00E61428"/>
    <w:rsid w:val="00E61B91"/>
    <w:rsid w:val="00E65CC1"/>
    <w:rsid w:val="00E735DA"/>
    <w:rsid w:val="00E7553E"/>
    <w:rsid w:val="00E761FA"/>
    <w:rsid w:val="00E77410"/>
    <w:rsid w:val="00E7786C"/>
    <w:rsid w:val="00E8090C"/>
    <w:rsid w:val="00E8335F"/>
    <w:rsid w:val="00E86052"/>
    <w:rsid w:val="00E86D6F"/>
    <w:rsid w:val="00E87645"/>
    <w:rsid w:val="00E91013"/>
    <w:rsid w:val="00E940A1"/>
    <w:rsid w:val="00EA66A0"/>
    <w:rsid w:val="00EB096E"/>
    <w:rsid w:val="00EB3F89"/>
    <w:rsid w:val="00EC2379"/>
    <w:rsid w:val="00EC69FE"/>
    <w:rsid w:val="00EE5E3D"/>
    <w:rsid w:val="00EF4DC1"/>
    <w:rsid w:val="00EF67A3"/>
    <w:rsid w:val="00F06A17"/>
    <w:rsid w:val="00F06CA3"/>
    <w:rsid w:val="00F07BF1"/>
    <w:rsid w:val="00F10924"/>
    <w:rsid w:val="00F11655"/>
    <w:rsid w:val="00F1219C"/>
    <w:rsid w:val="00F126C5"/>
    <w:rsid w:val="00F15704"/>
    <w:rsid w:val="00F15851"/>
    <w:rsid w:val="00F1616A"/>
    <w:rsid w:val="00F16E09"/>
    <w:rsid w:val="00F22532"/>
    <w:rsid w:val="00F24B5D"/>
    <w:rsid w:val="00F305E9"/>
    <w:rsid w:val="00F32867"/>
    <w:rsid w:val="00F3598C"/>
    <w:rsid w:val="00F436F2"/>
    <w:rsid w:val="00F51B42"/>
    <w:rsid w:val="00F53261"/>
    <w:rsid w:val="00F62AC9"/>
    <w:rsid w:val="00F67292"/>
    <w:rsid w:val="00F67AB9"/>
    <w:rsid w:val="00F7156D"/>
    <w:rsid w:val="00F757D5"/>
    <w:rsid w:val="00F76F41"/>
    <w:rsid w:val="00F8050E"/>
    <w:rsid w:val="00F86A7C"/>
    <w:rsid w:val="00F91C3B"/>
    <w:rsid w:val="00FA0613"/>
    <w:rsid w:val="00FA6F72"/>
    <w:rsid w:val="00FA75F3"/>
    <w:rsid w:val="00FB3515"/>
    <w:rsid w:val="00FB3677"/>
    <w:rsid w:val="00FB4963"/>
    <w:rsid w:val="00FB7A20"/>
    <w:rsid w:val="00FC2725"/>
    <w:rsid w:val="00FC2BBB"/>
    <w:rsid w:val="00FC7E26"/>
    <w:rsid w:val="00FD2779"/>
    <w:rsid w:val="00FD462D"/>
    <w:rsid w:val="00FD5190"/>
    <w:rsid w:val="00FE0BCE"/>
    <w:rsid w:val="00FE2FDD"/>
    <w:rsid w:val="00FE36B8"/>
    <w:rsid w:val="00FE6E45"/>
    <w:rsid w:val="00FF040B"/>
    <w:rsid w:val="00FF2145"/>
  </w:rsids>
  <m:mathPr>
    <m:mathFont m:val="Arial Black"/>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6" type="connector" idref="#_x0000_s1062"/>
        <o:r id="V:Rule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CE"/>
  </w:style>
  <w:style w:type="paragraph" w:styleId="Heading1">
    <w:name w:val="heading 1"/>
    <w:basedOn w:val="Normal"/>
    <w:next w:val="Normal"/>
    <w:link w:val="Heading1Char"/>
    <w:uiPriority w:val="9"/>
    <w:qFormat/>
    <w:rsid w:val="00FE0BCE"/>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FE0BCE"/>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514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2D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65C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E0BCE"/>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rsid w:val="00FE0BCE"/>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uiPriority w:val="9"/>
    <w:rsid w:val="00B514D5"/>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F22532"/>
  </w:style>
  <w:style w:type="paragraph" w:styleId="BalloonText">
    <w:name w:val="Balloon Text"/>
    <w:basedOn w:val="Normal"/>
    <w:link w:val="BalloonTextChar"/>
    <w:uiPriority w:val="99"/>
    <w:semiHidden/>
    <w:unhideWhenUsed/>
    <w:rsid w:val="00D4258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42581"/>
    <w:rPr>
      <w:rFonts w:ascii="Tahoma" w:hAnsi="Tahoma" w:cs="Angsana New"/>
      <w:sz w:val="16"/>
      <w:szCs w:val="20"/>
    </w:rPr>
  </w:style>
  <w:style w:type="paragraph" w:styleId="Caption">
    <w:name w:val="caption"/>
    <w:basedOn w:val="Normal"/>
    <w:next w:val="Normal"/>
    <w:uiPriority w:val="35"/>
    <w:unhideWhenUsed/>
    <w:qFormat/>
    <w:rsid w:val="003710FF"/>
    <w:pPr>
      <w:spacing w:line="240" w:lineRule="auto"/>
    </w:pPr>
    <w:rPr>
      <w:b/>
      <w:bCs/>
      <w:color w:val="4F81BD" w:themeColor="accent1"/>
      <w:sz w:val="18"/>
      <w:szCs w:val="22"/>
    </w:rPr>
  </w:style>
  <w:style w:type="character" w:styleId="CommentReference">
    <w:name w:val="annotation reference"/>
    <w:basedOn w:val="DefaultParagraphFont"/>
    <w:uiPriority w:val="99"/>
    <w:semiHidden/>
    <w:unhideWhenUsed/>
    <w:rsid w:val="00DE7FDF"/>
    <w:rPr>
      <w:sz w:val="18"/>
      <w:szCs w:val="18"/>
    </w:rPr>
  </w:style>
  <w:style w:type="paragraph" w:styleId="CommentText">
    <w:name w:val="annotation text"/>
    <w:basedOn w:val="Normal"/>
    <w:link w:val="CommentTextChar"/>
    <w:uiPriority w:val="99"/>
    <w:semiHidden/>
    <w:unhideWhenUsed/>
    <w:rsid w:val="00DE7FDF"/>
    <w:pPr>
      <w:spacing w:line="240" w:lineRule="auto"/>
    </w:pPr>
    <w:rPr>
      <w:sz w:val="24"/>
      <w:szCs w:val="24"/>
    </w:rPr>
  </w:style>
  <w:style w:type="character" w:customStyle="1" w:styleId="CommentTextChar">
    <w:name w:val="Comment Text Char"/>
    <w:basedOn w:val="DefaultParagraphFont"/>
    <w:link w:val="CommentText"/>
    <w:uiPriority w:val="99"/>
    <w:semiHidden/>
    <w:rsid w:val="00DE7FDF"/>
    <w:rPr>
      <w:sz w:val="24"/>
      <w:szCs w:val="24"/>
    </w:rPr>
  </w:style>
  <w:style w:type="paragraph" w:styleId="CommentSubject">
    <w:name w:val="annotation subject"/>
    <w:basedOn w:val="CommentText"/>
    <w:next w:val="CommentText"/>
    <w:link w:val="CommentSubjectChar"/>
    <w:uiPriority w:val="99"/>
    <w:semiHidden/>
    <w:unhideWhenUsed/>
    <w:rsid w:val="00DE7FDF"/>
    <w:rPr>
      <w:b/>
      <w:bCs/>
      <w:sz w:val="20"/>
      <w:szCs w:val="20"/>
    </w:rPr>
  </w:style>
  <w:style w:type="character" w:customStyle="1" w:styleId="CommentSubjectChar">
    <w:name w:val="Comment Subject Char"/>
    <w:basedOn w:val="CommentTextChar"/>
    <w:link w:val="CommentSubject"/>
    <w:uiPriority w:val="99"/>
    <w:semiHidden/>
    <w:rsid w:val="00DE7FDF"/>
    <w:rPr>
      <w:b/>
      <w:bCs/>
      <w:sz w:val="20"/>
      <w:szCs w:val="20"/>
    </w:rPr>
  </w:style>
  <w:style w:type="paragraph" w:styleId="ListParagraph">
    <w:name w:val="List Paragraph"/>
    <w:basedOn w:val="Normal"/>
    <w:uiPriority w:val="34"/>
    <w:qFormat/>
    <w:rsid w:val="00F07BF1"/>
    <w:pPr>
      <w:ind w:left="720"/>
      <w:contextualSpacing/>
    </w:pPr>
  </w:style>
  <w:style w:type="character" w:customStyle="1" w:styleId="Heading4Char">
    <w:name w:val="Heading 4 Char"/>
    <w:basedOn w:val="DefaultParagraphFont"/>
    <w:link w:val="Heading4"/>
    <w:uiPriority w:val="9"/>
    <w:rsid w:val="002D2D5E"/>
    <w:rPr>
      <w:rFonts w:asciiTheme="majorHAnsi" w:eastAsiaTheme="majorEastAsia" w:hAnsiTheme="majorHAnsi" w:cstheme="majorBidi"/>
      <w:b/>
      <w:bCs/>
      <w:i/>
      <w:iCs/>
      <w:color w:val="4F81BD" w:themeColor="accent1"/>
    </w:rPr>
  </w:style>
  <w:style w:type="table" w:customStyle="1" w:styleId="LightShading-Accent11">
    <w:name w:val="Light Shading - Accent 11"/>
    <w:basedOn w:val="TableNormal"/>
    <w:uiPriority w:val="60"/>
    <w:rsid w:val="00AA32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AA3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AA32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AA32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5Char">
    <w:name w:val="Heading 5 Char"/>
    <w:basedOn w:val="DefaultParagraphFont"/>
    <w:link w:val="Heading5"/>
    <w:uiPriority w:val="9"/>
    <w:rsid w:val="00B65C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84FAF"/>
    <w:rPr>
      <w:color w:val="0000FF" w:themeColor="hyperlink"/>
      <w:u w:val="single"/>
    </w:rPr>
  </w:style>
  <w:style w:type="paragraph" w:styleId="Header">
    <w:name w:val="header"/>
    <w:basedOn w:val="Normal"/>
    <w:link w:val="HeaderChar"/>
    <w:uiPriority w:val="99"/>
    <w:unhideWhenUsed/>
    <w:rsid w:val="007070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7044"/>
  </w:style>
  <w:style w:type="paragraph" w:styleId="Footer">
    <w:name w:val="footer"/>
    <w:basedOn w:val="Normal"/>
    <w:link w:val="FooterChar"/>
    <w:uiPriority w:val="99"/>
    <w:unhideWhenUsed/>
    <w:rsid w:val="007070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7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CE"/>
  </w:style>
  <w:style w:type="paragraph" w:styleId="Heading1">
    <w:name w:val="heading 1"/>
    <w:basedOn w:val="Normal"/>
    <w:next w:val="Normal"/>
    <w:link w:val="Heading1Char"/>
    <w:uiPriority w:val="9"/>
    <w:qFormat/>
    <w:rsid w:val="00FE0BCE"/>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FE0BCE"/>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514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BCE"/>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rsid w:val="00FE0BCE"/>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uiPriority w:val="9"/>
    <w:rsid w:val="00B514D5"/>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F22532"/>
  </w:style>
  <w:style w:type="paragraph" w:styleId="BalloonText">
    <w:name w:val="Balloon Text"/>
    <w:basedOn w:val="Normal"/>
    <w:link w:val="BalloonTextChar"/>
    <w:uiPriority w:val="99"/>
    <w:semiHidden/>
    <w:unhideWhenUsed/>
    <w:rsid w:val="00D4258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42581"/>
    <w:rPr>
      <w:rFonts w:ascii="Tahoma" w:hAnsi="Tahoma" w:cs="Angsana New"/>
      <w:sz w:val="16"/>
      <w:szCs w:val="20"/>
    </w:rPr>
  </w:style>
  <w:style w:type="paragraph" w:styleId="Caption">
    <w:name w:val="caption"/>
    <w:basedOn w:val="Normal"/>
    <w:next w:val="Normal"/>
    <w:uiPriority w:val="35"/>
    <w:unhideWhenUsed/>
    <w:qFormat/>
    <w:rsid w:val="003710FF"/>
    <w:pPr>
      <w:spacing w:line="240" w:lineRule="auto"/>
    </w:pPr>
    <w:rPr>
      <w:b/>
      <w:bCs/>
      <w:color w:val="4F81BD" w:themeColor="accent1"/>
      <w:sz w:val="18"/>
      <w:szCs w:val="22"/>
    </w:rPr>
  </w:style>
</w:styles>
</file>

<file path=word/webSettings.xml><?xml version="1.0" encoding="utf-8"?>
<w:webSettings xmlns:r="http://schemas.openxmlformats.org/officeDocument/2006/relationships" xmlns:w="http://schemas.openxmlformats.org/wordprocessingml/2006/main">
  <w:divs>
    <w:div w:id="446392107">
      <w:bodyDiv w:val="1"/>
      <w:marLeft w:val="0"/>
      <w:marRight w:val="0"/>
      <w:marTop w:val="0"/>
      <w:marBottom w:val="0"/>
      <w:divBdr>
        <w:top w:val="none" w:sz="0" w:space="0" w:color="auto"/>
        <w:left w:val="none" w:sz="0" w:space="0" w:color="auto"/>
        <w:bottom w:val="none" w:sz="0" w:space="0" w:color="auto"/>
        <w:right w:val="none" w:sz="0" w:space="0" w:color="auto"/>
      </w:divBdr>
    </w:div>
    <w:div w:id="778574365">
      <w:bodyDiv w:val="1"/>
      <w:marLeft w:val="0"/>
      <w:marRight w:val="0"/>
      <w:marTop w:val="0"/>
      <w:marBottom w:val="0"/>
      <w:divBdr>
        <w:top w:val="none" w:sz="0" w:space="0" w:color="auto"/>
        <w:left w:val="none" w:sz="0" w:space="0" w:color="auto"/>
        <w:bottom w:val="none" w:sz="0" w:space="0" w:color="auto"/>
        <w:right w:val="none" w:sz="0" w:space="0" w:color="auto"/>
      </w:divBdr>
    </w:div>
    <w:div w:id="1391802286">
      <w:bodyDiv w:val="1"/>
      <w:marLeft w:val="0"/>
      <w:marRight w:val="0"/>
      <w:marTop w:val="0"/>
      <w:marBottom w:val="0"/>
      <w:divBdr>
        <w:top w:val="none" w:sz="0" w:space="0" w:color="auto"/>
        <w:left w:val="none" w:sz="0" w:space="0" w:color="auto"/>
        <w:bottom w:val="none" w:sz="0" w:space="0" w:color="auto"/>
        <w:right w:val="none" w:sz="0" w:space="0" w:color="auto"/>
      </w:divBdr>
    </w:div>
    <w:div w:id="1666127263">
      <w:bodyDiv w:val="1"/>
      <w:marLeft w:val="0"/>
      <w:marRight w:val="0"/>
      <w:marTop w:val="0"/>
      <w:marBottom w:val="0"/>
      <w:divBdr>
        <w:top w:val="none" w:sz="0" w:space="0" w:color="auto"/>
        <w:left w:val="none" w:sz="0" w:space="0" w:color="auto"/>
        <w:bottom w:val="none" w:sz="0" w:space="0" w:color="auto"/>
        <w:right w:val="none" w:sz="0" w:space="0" w:color="auto"/>
      </w:divBdr>
    </w:div>
    <w:div w:id="1671713076">
      <w:bodyDiv w:val="1"/>
      <w:marLeft w:val="0"/>
      <w:marRight w:val="0"/>
      <w:marTop w:val="0"/>
      <w:marBottom w:val="0"/>
      <w:divBdr>
        <w:top w:val="none" w:sz="0" w:space="0" w:color="auto"/>
        <w:left w:val="none" w:sz="0" w:space="0" w:color="auto"/>
        <w:bottom w:val="none" w:sz="0" w:space="0" w:color="auto"/>
        <w:right w:val="none" w:sz="0" w:space="0" w:color="auto"/>
      </w:divBdr>
    </w:div>
    <w:div w:id="20817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oleObject" Target="embeddings/Microsoft_Equation1.bin"/><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DD31-9B38-7B4E-91D2-A1781ACE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6221</TotalTime>
  <Pages>12</Pages>
  <Words>3989</Words>
  <Characters>22740</Characters>
  <Application>Microsoft Macintosh Word</Application>
  <DocSecurity>0</DocSecurity>
  <Lines>189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 sathirapongsasuti</dc:creator>
  <cp:lastModifiedBy>Karoline Faust</cp:lastModifiedBy>
  <cp:revision>303</cp:revision>
  <dcterms:created xsi:type="dcterms:W3CDTF">2012-01-11T12:56:00Z</dcterms:created>
  <dcterms:modified xsi:type="dcterms:W3CDTF">2012-05-04T08:08:00Z</dcterms:modified>
</cp:coreProperties>
</file>