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63" w:rsidRPr="002F1DF0" w:rsidRDefault="00294763" w:rsidP="00294763">
      <w:pPr>
        <w:rPr>
          <w:lang w:eastAsia="en-IE"/>
        </w:rPr>
      </w:pPr>
      <w:r>
        <w:rPr>
          <w:b/>
          <w:lang w:eastAsia="en-IE"/>
        </w:rPr>
        <w:t>Table S1</w:t>
      </w:r>
      <w:r w:rsidRPr="00BB6FF0">
        <w:rPr>
          <w:b/>
          <w:lang w:eastAsia="en-IE"/>
        </w:rPr>
        <w:t>:</w:t>
      </w:r>
      <w:r>
        <w:rPr>
          <w:lang w:eastAsia="en-IE"/>
        </w:rPr>
        <w:t xml:space="preserve"> Number of </w:t>
      </w:r>
      <w:proofErr w:type="spellStart"/>
      <w:r>
        <w:rPr>
          <w:lang w:eastAsia="en-IE"/>
        </w:rPr>
        <w:t>lMoMA</w:t>
      </w:r>
      <w:proofErr w:type="spellEnd"/>
      <w:r>
        <w:rPr>
          <w:lang w:eastAsia="en-IE"/>
        </w:rPr>
        <w:t xml:space="preserve">-predicted lethal gene/reaction knockouts in </w:t>
      </w:r>
      <w:r w:rsidRPr="00367DF8">
        <w:rPr>
          <w:i/>
          <w:lang w:eastAsia="en-IE"/>
        </w:rPr>
        <w:t>S. cerevisiae</w:t>
      </w:r>
      <w:r>
        <w:rPr>
          <w:lang w:eastAsia="en-IE"/>
        </w:rPr>
        <w:t xml:space="preserve"> that differ between </w:t>
      </w:r>
      <w:r w:rsidRPr="007E6683">
        <w:rPr>
          <w:lang w:eastAsia="en-IE"/>
        </w:rPr>
        <w:t>alternative representation</w:t>
      </w:r>
      <w:r>
        <w:rPr>
          <w:lang w:eastAsia="en-IE"/>
        </w:rPr>
        <w:t xml:space="preserve"> of</w:t>
      </w:r>
      <w:r w:rsidRPr="007E6683">
        <w:rPr>
          <w:lang w:eastAsia="en-IE"/>
        </w:rPr>
        <w:t xml:space="preserve"> stoichiometry</w:t>
      </w:r>
      <w:r>
        <w:rPr>
          <w:lang w:eastAsia="en-IE"/>
        </w:rPr>
        <w:t xml:space="preserve"> (</w:t>
      </w:r>
      <w:r w:rsidRPr="006F2D30">
        <w:rPr>
          <w:i/>
          <w:lang w:eastAsia="en-IE"/>
        </w:rPr>
        <w:t>S</w:t>
      </w:r>
      <w:r w:rsidRPr="006F2D30">
        <w:rPr>
          <w:i/>
          <w:vertAlign w:val="subscript"/>
          <w:lang w:eastAsia="en-IE"/>
        </w:rPr>
        <w:t>1</w:t>
      </w:r>
      <w:r>
        <w:rPr>
          <w:lang w:eastAsia="en-IE"/>
        </w:rPr>
        <w:t xml:space="preserve"> and </w:t>
      </w:r>
      <w:r w:rsidRPr="006F2D30">
        <w:rPr>
          <w:i/>
          <w:lang w:eastAsia="en-IE"/>
        </w:rPr>
        <w:t>S</w:t>
      </w:r>
      <w:r w:rsidRPr="006F2D30">
        <w:rPr>
          <w:i/>
          <w:vertAlign w:val="subscript"/>
          <w:lang w:eastAsia="en-IE"/>
        </w:rPr>
        <w:t>2</w:t>
      </w:r>
      <w:r>
        <w:rPr>
          <w:lang w:eastAsia="en-IE"/>
        </w:rPr>
        <w:t xml:space="preserve">), relative to </w:t>
      </w:r>
      <w:r w:rsidRPr="006F2D30">
        <w:rPr>
          <w:i/>
          <w:lang w:eastAsia="en-IE"/>
        </w:rPr>
        <w:t>S</w:t>
      </w:r>
      <w:r>
        <w:rPr>
          <w:i/>
          <w:vertAlign w:val="subscript"/>
          <w:lang w:eastAsia="en-IE"/>
        </w:rPr>
        <w:t>0</w:t>
      </w:r>
      <w:r>
        <w:rPr>
          <w:lang w:eastAsia="en-IE"/>
        </w:rPr>
        <w:t xml:space="preserve"> (</w:t>
      </w:r>
      <w:r w:rsidRPr="002B663A">
        <w:rPr>
          <w:b/>
          <w:lang w:eastAsia="en-IE"/>
        </w:rPr>
        <w:t>Methods</w:t>
      </w:r>
      <w:r w:rsidRPr="00B37349">
        <w:rPr>
          <w:lang w:eastAsia="en-IE"/>
        </w:rPr>
        <w:t>).</w:t>
      </w:r>
      <w:r w:rsidRPr="007E6683">
        <w:rPr>
          <w:lang w:eastAsia="en-IE"/>
        </w:rPr>
        <w:t xml:space="preserve"> The</w:t>
      </w:r>
      <w:r>
        <w:rPr>
          <w:lang w:eastAsia="en-IE"/>
        </w:rPr>
        <w:t xml:space="preserve"> yeast genome scale </w:t>
      </w:r>
      <w:r w:rsidRPr="002F1DF0">
        <w:rPr>
          <w:lang w:eastAsia="en-IE"/>
        </w:rPr>
        <w:t>model</w:t>
      </w:r>
      <w:r>
        <w:rPr>
          <w:lang w:eastAsia="en-IE"/>
        </w:rPr>
        <w:t xml:space="preserve"> </w:t>
      </w:r>
      <w:r w:rsidRPr="002F1DF0">
        <w:rPr>
          <w:lang w:eastAsia="en-IE"/>
        </w:rPr>
        <w:fldChar w:fldCharType="begin" w:fldLock="1"/>
      </w:r>
      <w:r>
        <w:rPr>
          <w:lang w:eastAsia="en-IE"/>
        </w:rPr>
        <w:instrText>ADDIN CSL_CITATION { "citationItems" : [ { "id" : "ITEM-1", "itemData" : { "DOI" : "10.1101/gr.234503", "abstract" : "The metabolic network in the yeast Saccharomyces cerevisiae was reconstructed using currently available genomic, biochemical, and physiological information. The metabolic reactions were compartmentalized between the cytosol and the mitochondria, and transport steps between the compartments and the environment were included. A total of 708 structural open reading frames (ORFs) were accounted for in the reconstructed network, corresponding to 1035 metabolic reactions. Further, 140 reactions were included on the basis of biochemical evidence resulting in a genome-scale reconstructed metabolic network containing 1175 metabolic reactions and 584 metabolites. The number of gene functions included in the reconstructed network corresponds to approximately 16% of all characterized ORFs in S. cerevisiae. Using the reconstructed network, the metabolic capabilities of S. cerevisiae were calculated and compared with Escherichia coli. The reconstructed metabolic network is the first comprehensive network for a eukaryotic organism, and it may be used as the basis for in silico analysis of phenotypic functions.", "author" : [ { "family" : "F\u00f6rster", "given" : "Jochen" }, { "family" : "Famili", "given" : "Iman" }, { "family" : "Fu", "given" : "Patrick" }, { "family" : "Palsson", "given" : "Bernhard \u00d8" }, { "family" : "Nielsen", "given" : "Jens" } ], "container-title" : "Genome Research", "id" : "ITEM-1", "issue" : "2", "issued" : { "date-parts" : [ [ "2003", "2" ] ] }, "note" : "&lt;m:note&gt;&lt;/m:note&gt;", "page" : "244-53", "title" : "Genome-scale reconstruction of the Saccharomyces cerevisiae metabolic network.", "type" : "article-journal", "volume" : "13" }, "uris" : [ "http://www.mendeley.com/documents/?uuid=10890b15-84d5-4d20-8d54-119c8c40a76e" ] } ], "mendeley" : { "previouslyFormattedCitation" : "[1]" }, "properties" : { "noteIndex" : 0 }, "schema" : "https://github.com/citation-style-language/schema/raw/master/csl-citation.json" }</w:instrText>
      </w:r>
      <w:r w:rsidRPr="002F1DF0">
        <w:rPr>
          <w:lang w:eastAsia="en-IE"/>
        </w:rPr>
        <w:fldChar w:fldCharType="separate"/>
      </w:r>
      <w:r w:rsidRPr="00407EF2">
        <w:rPr>
          <w:noProof/>
          <w:lang w:eastAsia="en-IE"/>
        </w:rPr>
        <w:t>[1]</w:t>
      </w:r>
      <w:r w:rsidRPr="002F1DF0">
        <w:rPr>
          <w:lang w:eastAsia="en-IE"/>
        </w:rPr>
        <w:fldChar w:fldCharType="end"/>
      </w:r>
      <w:r w:rsidRPr="002F1DF0">
        <w:rPr>
          <w:lang w:eastAsia="en-IE"/>
        </w:rPr>
        <w:t xml:space="preserve"> was constrained as per </w:t>
      </w:r>
      <w:r w:rsidRPr="002F1DF0">
        <w:rPr>
          <w:lang w:eastAsia="en-IE"/>
        </w:rPr>
        <w:fldChar w:fldCharType="begin" w:fldLock="1"/>
      </w:r>
      <w:r>
        <w:rPr>
          <w:lang w:eastAsia="en-IE"/>
        </w:rPr>
        <w:instrText>ADDIN CSL_CITATION { "citationItems" : [ { "id" : "ITEM-1", "itemData" : { "DOI" : "10.1038/ng.846", "abstract" : "Although experimental and theoretical efforts have been applied to globally map genetic interactions, we still do not understand how gene-gene interactions arise from the operation of biomolecular networks. To bridge the gap between empirical and computational studies, we i, quantitatively measured genetic interactions between \u223c185,000 metabolic gene pairs in Saccharomyces cerevisiae, ii, superposed the data on a detailed systems biology model of metabolism and iii, introduced a machine-learning method to reconcile empirical interaction data with model predictions. We systematically investigated the relative impacts of functional modularity and metabolic flux coupling on the distribution of negative and positive genetic interactions. We also provide a mechanistic explanation for the link between the degree of genetic interaction, pleiotropy and gene dispensability. Last, we show the feasibility of automated metabolic model refinement by correcting misannotations in NAD biosynthesis and confirming them by in vivo experiments.", "author" : [ { "family" : "Szappanos", "given" : "Bal\u00e1zs" }, { "family" : "Kov\u00e1cs", "given" : "K\u00e1roly" }, { "family" : "Szamecz", "given" : "B\u00e9la" }, { "family" : "Honti", "given" : "Frantisek" }, { "family" : "Costanzo", "given" : "Michael" }, { "family" : "Baryshnikova", "given" : "Anastasia" }, { "family" : "Gelius-Dietrich", "given" : "Gabriel" }, { "family" : "Lercher", "given" : "Martin J" }, { "family" : "Jelasity", "given" : "M\u00e1rk" }, { "family" : "Myers", "given" : "Chad L" }, { "family" : "Andrews", "given" : "Brenda J" }, { "family" : "Boone", "given" : "Charles" }, { "family" : "Oliver", "given" : "Stephen G" }, { "family" : "P\u00e1l", "given" : "Csaba" }, { "family" : "Papp", "given" : "Bal\u00e1zs" } ], "container-title" : "Nature Genetics", "id" : "ITEM-1", "issue" : "7", "issued" : { "date-parts" : [ [ "2011", "1" ] ] }, "note" : "&lt;m:note&gt;&lt;/m:note&gt;", "page" : "656-62", "publisher" : "Nature Publishing Group", "title" : "An integrated approach to characterize genetic interaction networks in yeast metabolism.", "type" : "article-journal", "volume" : "43" }, "uris" : [ "http://www.mendeley.com/documents/?uuid=1cbe395d-37e8-46eb-978d-0fe1033839cc" ] } ], "mendeley" : { "manualFormatting" : "Szappanos et al, 2011", "previouslyFormattedCitation" : "[4]" }, "properties" : { "noteIndex" : 0 }, "schema" : "https://github.com/citation-style-language/schema/raw/master/csl-citation.json" }</w:instrText>
      </w:r>
      <w:r w:rsidRPr="002F1DF0">
        <w:rPr>
          <w:lang w:eastAsia="en-IE"/>
        </w:rPr>
        <w:fldChar w:fldCharType="separate"/>
      </w:r>
      <w:r w:rsidRPr="0076346A">
        <w:rPr>
          <w:noProof/>
          <w:lang w:eastAsia="en-IE"/>
        </w:rPr>
        <w:t xml:space="preserve">Szappanos </w:t>
      </w:r>
      <w:r w:rsidRPr="0076346A">
        <w:rPr>
          <w:i/>
          <w:noProof/>
          <w:lang w:eastAsia="en-IE"/>
        </w:rPr>
        <w:t>et al</w:t>
      </w:r>
      <w:r w:rsidRPr="0076346A">
        <w:rPr>
          <w:noProof/>
          <w:lang w:eastAsia="en-IE"/>
        </w:rPr>
        <w:t>, 2011</w:t>
      </w:r>
      <w:r w:rsidRPr="002F1DF0">
        <w:rPr>
          <w:lang w:eastAsia="en-IE"/>
        </w:rPr>
        <w:fldChar w:fldCharType="end"/>
      </w:r>
      <w:r>
        <w:rPr>
          <w:lang w:eastAsia="en-IE"/>
        </w:rPr>
        <w:t>,</w:t>
      </w:r>
      <w:r w:rsidRPr="002F1DF0">
        <w:rPr>
          <w:lang w:eastAsia="en-IE"/>
        </w:rPr>
        <w:t xml:space="preserve"> and FBA was used to generate the reference flux distributions. Single, double and triple gene/reaction deletions were simulated.</w:t>
      </w:r>
    </w:p>
    <w:tbl>
      <w:tblPr>
        <w:tblW w:w="7382" w:type="dxa"/>
        <w:jc w:val="center"/>
        <w:tblInd w:w="108" w:type="dxa"/>
        <w:tblBorders>
          <w:top w:val="single" w:sz="12" w:space="0" w:color="auto"/>
          <w:bottom w:val="single" w:sz="12" w:space="0" w:color="auto"/>
        </w:tblBorders>
        <w:tblLook w:val="04A0"/>
      </w:tblPr>
      <w:tblGrid>
        <w:gridCol w:w="1063"/>
        <w:gridCol w:w="1086"/>
        <w:gridCol w:w="976"/>
        <w:gridCol w:w="1086"/>
        <w:gridCol w:w="976"/>
        <w:gridCol w:w="1086"/>
        <w:gridCol w:w="1109"/>
      </w:tblGrid>
      <w:tr w:rsidR="00294763" w:rsidRPr="002F1DF0" w:rsidTr="007A3FB2">
        <w:trPr>
          <w:trHeight w:val="315"/>
          <w:jc w:val="center"/>
        </w:trPr>
        <w:tc>
          <w:tcPr>
            <w:tcW w:w="1063" w:type="dxa"/>
            <w:vMerge w:val="restart"/>
            <w:tcBorders>
              <w:top w:val="single" w:sz="12" w:space="0" w:color="auto"/>
              <w:bottom w:val="nil"/>
              <w:right w:val="single" w:sz="4" w:space="0" w:color="auto"/>
            </w:tcBorders>
            <w:shd w:val="clear" w:color="auto" w:fill="auto"/>
            <w:noWrap/>
            <w:vAlign w:val="center"/>
            <w:hideMark/>
          </w:tcPr>
          <w:p w:rsidR="00294763" w:rsidRPr="002F1DF0" w:rsidRDefault="00294763" w:rsidP="007A3FB2">
            <w:pPr>
              <w:spacing w:after="0" w:line="240" w:lineRule="auto"/>
              <w:jc w:val="center"/>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Number of Deletions</w:t>
            </w:r>
          </w:p>
        </w:tc>
        <w:tc>
          <w:tcPr>
            <w:tcW w:w="20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94763" w:rsidRPr="002F1DF0" w:rsidRDefault="00294763" w:rsidP="007A3FB2">
            <w:pPr>
              <w:spacing w:after="0" w:line="240" w:lineRule="auto"/>
              <w:jc w:val="center"/>
              <w:rPr>
                <w:rFonts w:ascii="Calibri" w:eastAsia="Times New Roman" w:hAnsi="Calibri" w:cs="Calibri"/>
                <w:b/>
                <w:color w:val="000000"/>
                <w:lang w:val="en-IE" w:eastAsia="en-IE"/>
              </w:rPr>
            </w:pPr>
            <w:r w:rsidRPr="002F1DF0">
              <w:rPr>
                <w:rFonts w:eastAsia="Times New Roman" w:cstheme="minorHAnsi"/>
                <w:b/>
                <w:i/>
                <w:color w:val="000000"/>
                <w:lang w:val="en-IE" w:eastAsia="en-IE"/>
              </w:rPr>
              <w:t>S</w:t>
            </w:r>
            <w:r w:rsidRPr="002F1DF0">
              <w:rPr>
                <w:rFonts w:eastAsia="Times New Roman" w:cstheme="minorHAnsi"/>
                <w:b/>
                <w:i/>
                <w:color w:val="000000"/>
                <w:vertAlign w:val="subscript"/>
                <w:lang w:val="en-IE" w:eastAsia="en-IE"/>
              </w:rPr>
              <w:t>2</w:t>
            </w:r>
          </w:p>
        </w:tc>
        <w:tc>
          <w:tcPr>
            <w:tcW w:w="20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94763" w:rsidRPr="002F1DF0" w:rsidRDefault="00294763" w:rsidP="007A3FB2">
            <w:pPr>
              <w:spacing w:after="0" w:line="240" w:lineRule="auto"/>
              <w:jc w:val="center"/>
              <w:rPr>
                <w:rFonts w:ascii="Calibri" w:eastAsia="Times New Roman" w:hAnsi="Calibri" w:cs="Calibri"/>
                <w:b/>
                <w:color w:val="000000"/>
                <w:lang w:val="en-IE" w:eastAsia="en-IE"/>
              </w:rPr>
            </w:pPr>
            <w:r w:rsidRPr="002F1DF0">
              <w:rPr>
                <w:rFonts w:eastAsia="Times New Roman" w:cstheme="minorHAnsi"/>
                <w:b/>
                <w:i/>
                <w:color w:val="000000"/>
                <w:lang w:val="en-IE" w:eastAsia="en-IE"/>
              </w:rPr>
              <w:t>S</w:t>
            </w:r>
            <w:r w:rsidRPr="002F1DF0">
              <w:rPr>
                <w:rFonts w:eastAsia="Times New Roman" w:cstheme="minorHAnsi"/>
                <w:b/>
                <w:i/>
                <w:color w:val="000000"/>
                <w:vertAlign w:val="subscript"/>
                <w:lang w:val="en-IE" w:eastAsia="en-IE"/>
              </w:rPr>
              <w:t>1</w:t>
            </w:r>
          </w:p>
        </w:tc>
        <w:tc>
          <w:tcPr>
            <w:tcW w:w="2195" w:type="dxa"/>
            <w:gridSpan w:val="2"/>
            <w:tcBorders>
              <w:top w:val="single" w:sz="12" w:space="0" w:color="auto"/>
              <w:left w:val="single" w:sz="4" w:space="0" w:color="auto"/>
              <w:bottom w:val="single" w:sz="4" w:space="0" w:color="auto"/>
            </w:tcBorders>
            <w:shd w:val="clear" w:color="auto" w:fill="D9D9D9" w:themeFill="background1" w:themeFillShade="D9"/>
            <w:noWrap/>
            <w:vAlign w:val="center"/>
            <w:hideMark/>
          </w:tcPr>
          <w:p w:rsidR="00294763" w:rsidRPr="002F1DF0" w:rsidRDefault="00294763" w:rsidP="007A3FB2">
            <w:pPr>
              <w:spacing w:after="0" w:line="240" w:lineRule="auto"/>
              <w:jc w:val="center"/>
              <w:rPr>
                <w:rFonts w:ascii="Calibri" w:eastAsia="Times New Roman" w:hAnsi="Calibri" w:cs="Calibri"/>
                <w:color w:val="000000"/>
                <w:lang w:val="en-IE" w:eastAsia="en-IE"/>
              </w:rPr>
            </w:pPr>
            <w:r>
              <w:rPr>
                <w:rFonts w:ascii="Calibri" w:eastAsia="Times New Roman" w:hAnsi="Calibri" w:cs="Calibri"/>
                <w:color w:val="000000"/>
                <w:lang w:val="en-IE" w:eastAsia="en-IE"/>
              </w:rPr>
              <w:t xml:space="preserve">Total number of </w:t>
            </w:r>
            <w:r w:rsidRPr="002F1DF0">
              <w:rPr>
                <w:rFonts w:ascii="Calibri" w:eastAsia="Times New Roman" w:hAnsi="Calibri" w:cs="Calibri"/>
                <w:color w:val="000000"/>
                <w:lang w:val="en-IE" w:eastAsia="en-IE"/>
              </w:rPr>
              <w:t>combinations</w:t>
            </w:r>
          </w:p>
        </w:tc>
      </w:tr>
      <w:tr w:rsidR="00294763" w:rsidRPr="002F1DF0" w:rsidTr="007A3FB2">
        <w:trPr>
          <w:trHeight w:val="300"/>
          <w:jc w:val="center"/>
        </w:trPr>
        <w:tc>
          <w:tcPr>
            <w:tcW w:w="1063" w:type="dxa"/>
            <w:vMerge/>
            <w:tcBorders>
              <w:top w:val="nil"/>
              <w:bottom w:val="nil"/>
              <w:right w:val="single" w:sz="4" w:space="0" w:color="auto"/>
            </w:tcBorders>
            <w:shd w:val="clear" w:color="auto" w:fill="auto"/>
            <w:noWrap/>
            <w:vAlign w:val="bottom"/>
            <w:hideMark/>
          </w:tcPr>
          <w:p w:rsidR="00294763" w:rsidRPr="002F1DF0" w:rsidRDefault="00294763" w:rsidP="007A3FB2">
            <w:pPr>
              <w:spacing w:after="0" w:line="240" w:lineRule="auto"/>
              <w:rPr>
                <w:rFonts w:ascii="Calibri" w:eastAsia="Times New Roman" w:hAnsi="Calibri" w:cs="Calibri"/>
                <w:color w:val="000000"/>
                <w:lang w:val="en-IE" w:eastAsia="en-IE"/>
              </w:rPr>
            </w:pPr>
          </w:p>
        </w:tc>
        <w:tc>
          <w:tcPr>
            <w:tcW w:w="1086" w:type="dxa"/>
            <w:tcBorders>
              <w:top w:val="single" w:sz="4" w:space="0" w:color="auto"/>
              <w:left w:val="single" w:sz="4" w:space="0" w:color="auto"/>
              <w:bottom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Reactions</w:t>
            </w:r>
          </w:p>
        </w:tc>
        <w:tc>
          <w:tcPr>
            <w:tcW w:w="976"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Genes</w:t>
            </w:r>
          </w:p>
        </w:tc>
        <w:tc>
          <w:tcPr>
            <w:tcW w:w="1086" w:type="dxa"/>
            <w:tcBorders>
              <w:top w:val="single" w:sz="4" w:space="0" w:color="auto"/>
              <w:left w:val="single" w:sz="4" w:space="0" w:color="auto"/>
              <w:bottom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Reactions</w:t>
            </w:r>
          </w:p>
        </w:tc>
        <w:tc>
          <w:tcPr>
            <w:tcW w:w="976"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Genes</w:t>
            </w:r>
          </w:p>
        </w:tc>
        <w:tc>
          <w:tcPr>
            <w:tcW w:w="1086"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Reactions</w:t>
            </w:r>
          </w:p>
        </w:tc>
        <w:tc>
          <w:tcPr>
            <w:tcW w:w="1109" w:type="dxa"/>
            <w:tcBorders>
              <w:top w:val="single" w:sz="4" w:space="0" w:color="auto"/>
              <w:bottom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Genes</w:t>
            </w:r>
          </w:p>
        </w:tc>
      </w:tr>
      <w:tr w:rsidR="00294763" w:rsidRPr="002F1DF0" w:rsidTr="007A3FB2">
        <w:trPr>
          <w:trHeight w:val="315"/>
          <w:jc w:val="center"/>
        </w:trPr>
        <w:tc>
          <w:tcPr>
            <w:tcW w:w="1063" w:type="dxa"/>
            <w:tcBorders>
              <w:top w:val="nil"/>
              <w:bottom w:val="nil"/>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w:t>
            </w:r>
          </w:p>
        </w:tc>
        <w:tc>
          <w:tcPr>
            <w:tcW w:w="1086" w:type="dxa"/>
            <w:tcBorders>
              <w:top w:val="single" w:sz="4" w:space="0" w:color="auto"/>
              <w:left w:val="single" w:sz="4" w:space="0" w:color="auto"/>
              <w:bottom w:val="nil"/>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0</w:t>
            </w:r>
          </w:p>
        </w:tc>
        <w:tc>
          <w:tcPr>
            <w:tcW w:w="976" w:type="dxa"/>
            <w:tcBorders>
              <w:top w:val="single" w:sz="4" w:space="0" w:color="auto"/>
              <w:bottom w:val="nil"/>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0</w:t>
            </w:r>
          </w:p>
        </w:tc>
        <w:tc>
          <w:tcPr>
            <w:tcW w:w="1086" w:type="dxa"/>
            <w:tcBorders>
              <w:top w:val="single" w:sz="4" w:space="0" w:color="auto"/>
              <w:lef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4</w:t>
            </w:r>
          </w:p>
        </w:tc>
        <w:tc>
          <w:tcPr>
            <w:tcW w:w="976" w:type="dxa"/>
            <w:tcBorders>
              <w:top w:val="single" w:sz="4" w:space="0" w:color="auto"/>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3</w:t>
            </w:r>
          </w:p>
        </w:tc>
        <w:tc>
          <w:tcPr>
            <w:tcW w:w="1086" w:type="dxa"/>
            <w:tcBorders>
              <w:top w:val="single" w:sz="4" w:space="0" w:color="auto"/>
              <w:left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387</w:t>
            </w:r>
          </w:p>
        </w:tc>
        <w:tc>
          <w:tcPr>
            <w:tcW w:w="1109" w:type="dxa"/>
            <w:tcBorders>
              <w:top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424</w:t>
            </w:r>
          </w:p>
        </w:tc>
      </w:tr>
      <w:tr w:rsidR="00294763" w:rsidRPr="002F1DF0" w:rsidTr="007A3FB2">
        <w:trPr>
          <w:trHeight w:val="315"/>
          <w:jc w:val="center"/>
        </w:trPr>
        <w:tc>
          <w:tcPr>
            <w:tcW w:w="1063" w:type="dxa"/>
            <w:tcBorders>
              <w:top w:val="nil"/>
              <w:bottom w:val="nil"/>
              <w:righ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2</w:t>
            </w:r>
          </w:p>
        </w:tc>
        <w:tc>
          <w:tcPr>
            <w:tcW w:w="1086" w:type="dxa"/>
            <w:tcBorders>
              <w:top w:val="nil"/>
              <w:left w:val="single" w:sz="4" w:space="0" w:color="auto"/>
              <w:bottom w:val="nil"/>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0</w:t>
            </w:r>
          </w:p>
        </w:tc>
        <w:tc>
          <w:tcPr>
            <w:tcW w:w="976" w:type="dxa"/>
            <w:tcBorders>
              <w:top w:val="nil"/>
              <w:bottom w:val="nil"/>
              <w:righ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13</w:t>
            </w:r>
          </w:p>
        </w:tc>
        <w:tc>
          <w:tcPr>
            <w:tcW w:w="1086" w:type="dxa"/>
            <w:tcBorders>
              <w:lef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1526</w:t>
            </w:r>
          </w:p>
        </w:tc>
        <w:tc>
          <w:tcPr>
            <w:tcW w:w="976" w:type="dxa"/>
            <w:tcBorders>
              <w:right w:val="single" w:sz="4" w:space="0" w:color="auto"/>
            </w:tcBorders>
            <w:shd w:val="clear" w:color="auto" w:fill="F2F2F2" w:themeFill="background1" w:themeFillShade="F2"/>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1166</w:t>
            </w:r>
          </w:p>
        </w:tc>
        <w:tc>
          <w:tcPr>
            <w:tcW w:w="1086" w:type="dxa"/>
            <w:tcBorders>
              <w:left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74691</w:t>
            </w:r>
          </w:p>
        </w:tc>
        <w:tc>
          <w:tcPr>
            <w:tcW w:w="1109" w:type="dxa"/>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89676</w:t>
            </w:r>
          </w:p>
        </w:tc>
      </w:tr>
      <w:tr w:rsidR="00294763" w:rsidRPr="002F1DF0" w:rsidTr="007A3FB2">
        <w:trPr>
          <w:trHeight w:val="315"/>
          <w:jc w:val="center"/>
        </w:trPr>
        <w:tc>
          <w:tcPr>
            <w:tcW w:w="1063" w:type="dxa"/>
            <w:tcBorders>
              <w:top w:val="nil"/>
              <w:bottom w:val="single" w:sz="12" w:space="0" w:color="auto"/>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3</w:t>
            </w:r>
          </w:p>
        </w:tc>
        <w:tc>
          <w:tcPr>
            <w:tcW w:w="1086" w:type="dxa"/>
            <w:tcBorders>
              <w:top w:val="nil"/>
              <w:left w:val="single" w:sz="4" w:space="0" w:color="auto"/>
              <w:bottom w:val="single" w:sz="12"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189</w:t>
            </w:r>
          </w:p>
        </w:tc>
        <w:tc>
          <w:tcPr>
            <w:tcW w:w="976" w:type="dxa"/>
            <w:tcBorders>
              <w:top w:val="nil"/>
              <w:bottom w:val="single" w:sz="12" w:space="0" w:color="auto"/>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4565</w:t>
            </w:r>
          </w:p>
        </w:tc>
        <w:tc>
          <w:tcPr>
            <w:tcW w:w="1086" w:type="dxa"/>
            <w:tcBorders>
              <w:left w:val="single" w:sz="4" w:space="0" w:color="auto"/>
              <w:bottom w:val="single" w:sz="12"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289664</w:t>
            </w:r>
          </w:p>
        </w:tc>
        <w:tc>
          <w:tcPr>
            <w:tcW w:w="976" w:type="dxa"/>
            <w:tcBorders>
              <w:bottom w:val="single" w:sz="12" w:space="0" w:color="auto"/>
              <w:right w:val="single" w:sz="4" w:space="0" w:color="auto"/>
            </w:tcBorders>
            <w:shd w:val="clear" w:color="auto" w:fill="auto"/>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225548</w:t>
            </w:r>
          </w:p>
        </w:tc>
        <w:tc>
          <w:tcPr>
            <w:tcW w:w="1086" w:type="dxa"/>
            <w:tcBorders>
              <w:left w:val="single" w:sz="4" w:space="0" w:color="auto"/>
            </w:tcBorders>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9585345</w:t>
            </w:r>
          </w:p>
        </w:tc>
        <w:tc>
          <w:tcPr>
            <w:tcW w:w="1109" w:type="dxa"/>
            <w:shd w:val="clear" w:color="auto" w:fill="D9D9D9" w:themeFill="background1" w:themeFillShade="D9"/>
            <w:noWrap/>
            <w:vAlign w:val="bottom"/>
            <w:hideMark/>
          </w:tcPr>
          <w:p w:rsidR="00294763" w:rsidRPr="002F1DF0" w:rsidRDefault="00294763" w:rsidP="007A3FB2">
            <w:pPr>
              <w:spacing w:after="0" w:line="240" w:lineRule="auto"/>
              <w:jc w:val="right"/>
              <w:rPr>
                <w:rFonts w:ascii="Calibri" w:eastAsia="Times New Roman" w:hAnsi="Calibri" w:cs="Calibri"/>
                <w:color w:val="000000"/>
                <w:lang w:val="en-IE" w:eastAsia="en-IE"/>
              </w:rPr>
            </w:pPr>
            <w:r w:rsidRPr="002F1DF0">
              <w:rPr>
                <w:rFonts w:ascii="Calibri" w:eastAsia="Times New Roman" w:hAnsi="Calibri" w:cs="Calibri"/>
                <w:color w:val="000000"/>
                <w:lang w:val="en-IE" w:eastAsia="en-IE"/>
              </w:rPr>
              <w:t>12614424</w:t>
            </w:r>
          </w:p>
        </w:tc>
      </w:tr>
    </w:tbl>
    <w:p w:rsidR="00294763" w:rsidRPr="002F1DF0" w:rsidRDefault="00294763" w:rsidP="00294763">
      <w:pPr>
        <w:pStyle w:val="Heading2"/>
        <w:rPr>
          <w:lang w:val="en-US"/>
        </w:rPr>
      </w:pPr>
    </w:p>
    <w:p w:rsidR="006B5FBB" w:rsidRDefault="00294763"/>
    <w:sectPr w:rsidR="006B5FBB" w:rsidSect="00446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077FE"/>
    <w:rsid w:val="00294763"/>
    <w:rsid w:val="00356966"/>
    <w:rsid w:val="004465EC"/>
    <w:rsid w:val="004E68C7"/>
    <w:rsid w:val="006D32D8"/>
    <w:rsid w:val="007F20E4"/>
    <w:rsid w:val="009C3BA2"/>
    <w:rsid w:val="00CD5BAB"/>
    <w:rsid w:val="00DA7D33"/>
    <w:rsid w:val="00DB1821"/>
    <w:rsid w:val="00E657A8"/>
    <w:rsid w:val="00EF265D"/>
    <w:rsid w:val="00F077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63"/>
    <w:pPr>
      <w:spacing w:line="360" w:lineRule="auto"/>
      <w:jc w:val="both"/>
    </w:pPr>
    <w:rPr>
      <w:sz w:val="20"/>
      <w:lang w:val="en-US"/>
    </w:rPr>
  </w:style>
  <w:style w:type="paragraph" w:styleId="Heading2">
    <w:name w:val="heading 2"/>
    <w:basedOn w:val="Normal"/>
    <w:next w:val="Normal"/>
    <w:link w:val="Heading2Char"/>
    <w:uiPriority w:val="9"/>
    <w:unhideWhenUsed/>
    <w:qFormat/>
    <w:rsid w:val="00294763"/>
    <w:pPr>
      <w:outlineLvl w:val="1"/>
    </w:pPr>
    <w:rPr>
      <w:i/>
      <w:sz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763"/>
    <w:rPr>
      <w:i/>
      <w:lang w:eastAsia="en-I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2</cp:revision>
  <dcterms:created xsi:type="dcterms:W3CDTF">2012-09-25T14:44:00Z</dcterms:created>
  <dcterms:modified xsi:type="dcterms:W3CDTF">2012-09-25T14:44:00Z</dcterms:modified>
</cp:coreProperties>
</file>