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54" w:rsidRDefault="00096454" w:rsidP="00096454">
      <w:pPr>
        <w:rPr>
          <w:rFonts w:eastAsiaTheme="minorEastAsia"/>
          <w:lang w:eastAsia="en-IE"/>
        </w:rPr>
      </w:pPr>
      <w:r>
        <w:rPr>
          <w:b/>
          <w:lang w:eastAsia="en-IE"/>
        </w:rPr>
        <w:t>Table S3</w:t>
      </w:r>
      <w:r w:rsidRPr="002F1DF0">
        <w:rPr>
          <w:b/>
          <w:lang w:eastAsia="en-IE"/>
        </w:rPr>
        <w:t xml:space="preserve">: </w:t>
      </w:r>
      <w:r>
        <w:rPr>
          <w:lang w:eastAsia="en-IE"/>
        </w:rPr>
        <w:t>MiMBL</w:t>
      </w:r>
      <w:r w:rsidRPr="002F1DF0">
        <w:rPr>
          <w:lang w:eastAsia="en-IE"/>
        </w:rPr>
        <w:t xml:space="preserve">-predicted epistatic interactions within </w:t>
      </w:r>
      <w:r w:rsidRPr="002F1DF0">
        <w:rPr>
          <w:i/>
          <w:lang w:eastAsia="en-IE"/>
        </w:rPr>
        <w:t>S. cerevisiae</w:t>
      </w:r>
      <w:r w:rsidRPr="002F1DF0">
        <w:rPr>
          <w:lang w:eastAsia="en-IE"/>
        </w:rPr>
        <w:t xml:space="preserve"> genome-scale metabolic model</w:t>
      </w:r>
      <w:r>
        <w:rPr>
          <w:lang w:eastAsia="en-IE"/>
        </w:rPr>
        <w:t xml:space="preserve"> </w:t>
      </w:r>
      <w:r w:rsidRPr="002F1DF0">
        <w:rPr>
          <w:lang w:eastAsia="en-IE"/>
        </w:rPr>
        <w:fldChar w:fldCharType="begin" w:fldLock="1"/>
      </w:r>
      <w:r>
        <w:rPr>
          <w:lang w:eastAsia="en-IE"/>
        </w:rPr>
        <w:instrText>ADDIN CSL_CITATION { "citationItems" : [ { "id" : "ITEM-1", "itemData" : { "DOI" : "10.1101/gr.234503", "abstract" : "The metabolic network in the yeast Saccharomyces cerevisiae was reconstructed using currently available genomic, biochemical, and physiological information. The metabolic reactions were compartmentalized between the cytosol and the mitochondria, and transport steps between the compartments and the environment were included. A total of 708 structural open reading frames (ORFs) were accounted for in the reconstructed network, corresponding to 1035 metabolic reactions. Further, 140 reactions were included on the basis of biochemical evidence resulting in a genome-scale reconstructed metabolic network containing 1175 metabolic reactions and 584 metabolites. The number of gene functions included in the reconstructed network corresponds to approximately 16% of all characterized ORFs in S. cerevisiae. Using the reconstructed network, the metabolic capabilities of S. cerevisiae were calculated and compared with Escherichia coli. The reconstructed metabolic network is the first comprehensive network for a eukaryotic organism, and it may be used as the basis for in silico analysis of phenotypic functions.", "author" : [ { "family" : "F\u00f6rster", "given" : "Jochen" }, { "family" : "Famili", "given" : "Iman" }, { "family" : "Fu", "given" : "Patrick" }, { "family" : "Palsson", "given" : "Bernhard \u00d8" }, { "family" : "Nielsen", "given" : "Jens" } ], "container-title" : "Genome Research", "id" : "ITEM-1", "issue" : "2", "issued" : { "date-parts" : [ [ "2003", "2" ] ] }, "note" : "&lt;m:note&gt;&lt;/m:note&gt;", "page" : "244-53", "title" : "Genome-scale reconstruction of the Saccharomyces cerevisiae metabolic network.", "type" : "article-journal", "volume" : "13" }, "uris" : [ "http://www.mendeley.com/documents/?uuid=10890b15-84d5-4d20-8d54-119c8c40a76e" ] } ], "mendeley" : { "previouslyFormattedCitation" : "[1]" }, "properties" : { "noteIndex" : 0 }, "schema" : "https://github.com/citation-style-language/schema/raw/master/csl-citation.json" }</w:instrText>
      </w:r>
      <w:r w:rsidRPr="002F1DF0">
        <w:rPr>
          <w:lang w:eastAsia="en-IE"/>
        </w:rPr>
        <w:fldChar w:fldCharType="separate"/>
      </w:r>
      <w:r w:rsidRPr="00407EF2">
        <w:rPr>
          <w:noProof/>
          <w:lang w:eastAsia="en-IE"/>
        </w:rPr>
        <w:t>[1]</w:t>
      </w:r>
      <w:r w:rsidRPr="002F1DF0">
        <w:rPr>
          <w:lang w:eastAsia="en-IE"/>
        </w:rPr>
        <w:fldChar w:fldCharType="end"/>
      </w:r>
      <w:r w:rsidRPr="002F1DF0">
        <w:rPr>
          <w:lang w:eastAsia="en-IE"/>
        </w:rPr>
        <w:t>.</w:t>
      </w:r>
      <w:r>
        <w:rPr>
          <w:b/>
          <w:lang w:eastAsia="en-IE"/>
        </w:rPr>
        <w:t xml:space="preserve"> </w:t>
      </w:r>
      <w:r>
        <w:rPr>
          <w:lang w:eastAsia="en-IE"/>
        </w:rPr>
        <w:t xml:space="preserve">Simulations were performed using two </w:t>
      </w:r>
      <w:r w:rsidRPr="007E6683">
        <w:rPr>
          <w:lang w:eastAsia="en-IE"/>
        </w:rPr>
        <w:t>alternative</w:t>
      </w:r>
      <w:r>
        <w:rPr>
          <w:lang w:eastAsia="en-IE"/>
        </w:rPr>
        <w:t xml:space="preserve"> </w:t>
      </w:r>
      <w:r w:rsidRPr="007E6683">
        <w:rPr>
          <w:lang w:eastAsia="en-IE"/>
        </w:rPr>
        <w:t>representation</w:t>
      </w:r>
      <w:r>
        <w:rPr>
          <w:lang w:eastAsia="en-IE"/>
        </w:rPr>
        <w:t>s of</w:t>
      </w:r>
      <w:r w:rsidRPr="007E6683">
        <w:rPr>
          <w:lang w:eastAsia="en-IE"/>
        </w:rPr>
        <w:t xml:space="preserve"> stoichiometry</w:t>
      </w:r>
      <w:r>
        <w:rPr>
          <w:lang w:eastAsia="en-IE"/>
        </w:rPr>
        <w:t xml:space="preserve">, </w:t>
      </w:r>
      <w:r w:rsidRPr="006F2D30">
        <w:rPr>
          <w:i/>
          <w:lang w:eastAsia="en-IE"/>
        </w:rPr>
        <w:t>S</w:t>
      </w:r>
      <w:r>
        <w:rPr>
          <w:i/>
          <w:vertAlign w:val="subscript"/>
          <w:lang w:eastAsia="en-IE"/>
        </w:rPr>
        <w:t>0</w:t>
      </w:r>
      <w:r>
        <w:rPr>
          <w:lang w:eastAsia="en-IE"/>
        </w:rPr>
        <w:t xml:space="preserve"> and </w:t>
      </w:r>
      <w:r w:rsidRPr="006F2D30">
        <w:rPr>
          <w:i/>
          <w:lang w:eastAsia="en-IE"/>
        </w:rPr>
        <w:t>S</w:t>
      </w:r>
      <w:r>
        <w:rPr>
          <w:i/>
          <w:vertAlign w:val="subscript"/>
          <w:lang w:eastAsia="en-IE"/>
        </w:rPr>
        <w:t>1</w:t>
      </w:r>
      <w:r>
        <w:rPr>
          <w:lang w:eastAsia="en-IE"/>
        </w:rPr>
        <w:t xml:space="preserve"> (</w:t>
      </w:r>
      <w:r w:rsidRPr="002B663A">
        <w:rPr>
          <w:b/>
          <w:lang w:eastAsia="en-IE"/>
        </w:rPr>
        <w:t>Methods</w:t>
      </w:r>
      <w:r>
        <w:rPr>
          <w:lang w:eastAsia="en-IE"/>
        </w:rPr>
        <w:t>)</w:t>
      </w:r>
      <w:r>
        <w:rPr>
          <w:rFonts w:eastAsiaTheme="minorEastAsia"/>
          <w:lang w:eastAsia="en-IE"/>
        </w:rPr>
        <w:t>.</w:t>
      </w:r>
      <w:r>
        <w:rPr>
          <w:lang w:eastAsia="en-IE"/>
        </w:rPr>
        <w:t xml:space="preserve"> The yeast genome-scale metabolic model was constrained as in </w:t>
      </w:r>
      <w:r w:rsidRPr="007E6683">
        <w:t>Szappanos</w:t>
      </w:r>
      <w:r w:rsidRPr="007E6683">
        <w:rPr>
          <w:lang w:eastAsia="en-IE"/>
        </w:rPr>
        <w:t xml:space="preserve"> </w:t>
      </w:r>
      <w:r>
        <w:rPr>
          <w:i/>
          <w:lang w:eastAsia="en-IE"/>
        </w:rPr>
        <w:t>et al.</w:t>
      </w:r>
      <w:r w:rsidRPr="007E6683">
        <w:rPr>
          <w:lang w:eastAsia="en-IE"/>
        </w:rPr>
        <w:t xml:space="preserve"> 2011.</w:t>
      </w:r>
    </w:p>
    <w:tbl>
      <w:tblPr>
        <w:tblW w:w="5489" w:type="dxa"/>
        <w:jc w:val="center"/>
        <w:tblInd w:w="100" w:type="dxa"/>
        <w:tblLayout w:type="fixed"/>
        <w:tblLook w:val="04A0"/>
      </w:tblPr>
      <w:tblGrid>
        <w:gridCol w:w="2560"/>
        <w:gridCol w:w="1464"/>
        <w:gridCol w:w="1465"/>
      </w:tblGrid>
      <w:tr w:rsidR="00096454" w:rsidRPr="00396471" w:rsidTr="007A3FB2">
        <w:trPr>
          <w:trHeight w:val="300"/>
          <w:jc w:val="center"/>
        </w:trPr>
        <w:tc>
          <w:tcPr>
            <w:tcW w:w="2560" w:type="dxa"/>
            <w:tcBorders>
              <w:top w:val="single" w:sz="12" w:space="0" w:color="auto"/>
              <w:left w:val="nil"/>
              <w:bottom w:val="single" w:sz="4" w:space="0" w:color="auto"/>
              <w:right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b/>
                <w:color w:val="FFFFFF" w:themeColor="background1"/>
                <w:lang w:val="en-IE" w:eastAsia="en-IE"/>
              </w:rPr>
            </w:pPr>
          </w:p>
        </w:tc>
        <w:tc>
          <w:tcPr>
            <w:tcW w:w="1464" w:type="dxa"/>
            <w:tcBorders>
              <w:top w:val="single" w:sz="12" w:space="0" w:color="auto"/>
              <w:left w:val="single" w:sz="4" w:space="0" w:color="auto"/>
              <w:bottom w:val="single" w:sz="4" w:space="0" w:color="auto"/>
              <w:right w:val="nil"/>
            </w:tcBorders>
            <w:shd w:val="clear" w:color="auto" w:fill="F2F2F2" w:themeFill="background1" w:themeFillShade="F2"/>
            <w:noWrap/>
            <w:vAlign w:val="bottom"/>
            <w:hideMark/>
          </w:tcPr>
          <w:p w:rsidR="00096454" w:rsidRPr="00396471" w:rsidRDefault="00096454" w:rsidP="007A3FB2">
            <w:pPr>
              <w:spacing w:after="0" w:line="240" w:lineRule="auto"/>
              <w:jc w:val="right"/>
              <w:rPr>
                <w:rFonts w:eastAsia="Times New Roman" w:cstheme="minorHAnsi"/>
                <w:b/>
                <w:color w:val="000000"/>
                <w:lang w:val="en-IE" w:eastAsia="en-IE"/>
              </w:rPr>
            </w:pPr>
            <w:r w:rsidRPr="00065C73">
              <w:rPr>
                <w:rFonts w:eastAsia="Times New Roman" w:cstheme="minorHAnsi"/>
                <w:b/>
                <w:i/>
                <w:color w:val="000000"/>
                <w:lang w:val="en-IE" w:eastAsia="en-IE"/>
              </w:rPr>
              <w:t>S</w:t>
            </w:r>
            <w:r w:rsidRPr="00065C73">
              <w:rPr>
                <w:rFonts w:eastAsia="Times New Roman" w:cstheme="minorHAnsi"/>
                <w:b/>
                <w:i/>
                <w:color w:val="000000"/>
                <w:vertAlign w:val="subscript"/>
                <w:lang w:val="en-IE" w:eastAsia="en-IE"/>
              </w:rPr>
              <w:t>0</w:t>
            </w:r>
          </w:p>
        </w:tc>
        <w:tc>
          <w:tcPr>
            <w:tcW w:w="1465" w:type="dxa"/>
            <w:tcBorders>
              <w:top w:val="single" w:sz="12" w:space="0" w:color="auto"/>
              <w:left w:val="nil"/>
              <w:bottom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b/>
                <w:color w:val="000000"/>
                <w:lang w:val="en-IE" w:eastAsia="en-IE"/>
              </w:rPr>
            </w:pPr>
            <w:r w:rsidRPr="00065C73">
              <w:rPr>
                <w:rFonts w:eastAsia="Times New Roman" w:cstheme="minorHAnsi"/>
                <w:b/>
                <w:i/>
                <w:color w:val="000000"/>
                <w:lang w:val="en-IE" w:eastAsia="en-IE"/>
              </w:rPr>
              <w:t>S</w:t>
            </w:r>
            <w:r>
              <w:rPr>
                <w:rFonts w:eastAsia="Times New Roman" w:cstheme="minorHAnsi"/>
                <w:b/>
                <w:i/>
                <w:color w:val="000000"/>
                <w:vertAlign w:val="subscript"/>
                <w:lang w:val="en-IE" w:eastAsia="en-IE"/>
              </w:rPr>
              <w:t>1</w:t>
            </w:r>
          </w:p>
        </w:tc>
      </w:tr>
      <w:tr w:rsidR="00096454" w:rsidRPr="00396471" w:rsidTr="007A3FB2">
        <w:trPr>
          <w:trHeight w:val="300"/>
          <w:jc w:val="center"/>
        </w:trPr>
        <w:tc>
          <w:tcPr>
            <w:tcW w:w="2560" w:type="dxa"/>
            <w:tcBorders>
              <w:top w:val="single" w:sz="4" w:space="0" w:color="auto"/>
              <w:left w:val="nil"/>
              <w:bottom w:val="nil"/>
              <w:right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color w:val="000000"/>
                <w:lang w:val="en-IE" w:eastAsia="en-IE"/>
              </w:rPr>
            </w:pPr>
            <w:r w:rsidRPr="00396471">
              <w:rPr>
                <w:rFonts w:eastAsia="Times New Roman" w:cstheme="minorHAnsi"/>
                <w:color w:val="000000"/>
                <w:lang w:val="en-IE" w:eastAsia="en-IE"/>
              </w:rPr>
              <w:t>Positive interactions</w:t>
            </w:r>
          </w:p>
        </w:tc>
        <w:tc>
          <w:tcPr>
            <w:tcW w:w="1464" w:type="dxa"/>
            <w:tcBorders>
              <w:top w:val="single" w:sz="4" w:space="0" w:color="auto"/>
              <w:left w:val="single" w:sz="4" w:space="0" w:color="auto"/>
              <w:bottom w:val="nil"/>
              <w:right w:val="nil"/>
            </w:tcBorders>
            <w:shd w:val="clear" w:color="auto" w:fill="F2F2F2" w:themeFill="background1" w:themeFillShade="F2"/>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2019</w:t>
            </w:r>
          </w:p>
        </w:tc>
        <w:tc>
          <w:tcPr>
            <w:tcW w:w="1465" w:type="dxa"/>
            <w:tcBorders>
              <w:top w:val="single" w:sz="4" w:space="0" w:color="auto"/>
              <w:left w:val="nil"/>
              <w:bottom w:val="nil"/>
            </w:tcBorders>
            <w:shd w:val="clear" w:color="auto" w:fill="auto"/>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2019</w:t>
            </w:r>
          </w:p>
        </w:tc>
      </w:tr>
      <w:tr w:rsidR="00096454" w:rsidRPr="00396471" w:rsidTr="007A3FB2">
        <w:trPr>
          <w:trHeight w:val="300"/>
          <w:jc w:val="center"/>
        </w:trPr>
        <w:tc>
          <w:tcPr>
            <w:tcW w:w="2560" w:type="dxa"/>
            <w:tcBorders>
              <w:top w:val="nil"/>
              <w:left w:val="nil"/>
              <w:bottom w:val="nil"/>
              <w:right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color w:val="000000"/>
                <w:lang w:val="en-IE" w:eastAsia="en-IE"/>
              </w:rPr>
            </w:pPr>
            <w:r w:rsidRPr="00396471">
              <w:rPr>
                <w:rFonts w:eastAsia="Times New Roman" w:cstheme="minorHAnsi"/>
                <w:color w:val="000000"/>
                <w:lang w:val="en-IE" w:eastAsia="en-IE"/>
              </w:rPr>
              <w:t>Negative interactions</w:t>
            </w:r>
          </w:p>
        </w:tc>
        <w:tc>
          <w:tcPr>
            <w:tcW w:w="1464" w:type="dxa"/>
            <w:tcBorders>
              <w:top w:val="nil"/>
              <w:left w:val="single" w:sz="4" w:space="0" w:color="auto"/>
              <w:bottom w:val="nil"/>
              <w:right w:val="nil"/>
            </w:tcBorders>
            <w:shd w:val="clear" w:color="auto" w:fill="F2F2F2" w:themeFill="background1" w:themeFillShade="F2"/>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811</w:t>
            </w:r>
          </w:p>
        </w:tc>
        <w:tc>
          <w:tcPr>
            <w:tcW w:w="1465" w:type="dxa"/>
            <w:tcBorders>
              <w:top w:val="nil"/>
              <w:left w:val="nil"/>
              <w:bottom w:val="nil"/>
            </w:tcBorders>
            <w:shd w:val="clear" w:color="auto" w:fill="auto"/>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811</w:t>
            </w:r>
          </w:p>
        </w:tc>
      </w:tr>
      <w:tr w:rsidR="00096454" w:rsidRPr="00396471" w:rsidTr="007A3FB2">
        <w:trPr>
          <w:trHeight w:val="300"/>
          <w:jc w:val="center"/>
        </w:trPr>
        <w:tc>
          <w:tcPr>
            <w:tcW w:w="2560" w:type="dxa"/>
            <w:tcBorders>
              <w:top w:val="nil"/>
              <w:left w:val="nil"/>
              <w:bottom w:val="single" w:sz="4" w:space="0" w:color="auto"/>
              <w:right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color w:val="000000"/>
                <w:lang w:val="en-IE" w:eastAsia="en-IE"/>
              </w:rPr>
            </w:pPr>
            <w:r w:rsidRPr="00396471">
              <w:rPr>
                <w:rFonts w:eastAsia="Times New Roman" w:cstheme="minorHAnsi"/>
                <w:color w:val="000000"/>
                <w:lang w:val="en-IE" w:eastAsia="en-IE"/>
              </w:rPr>
              <w:t>Synthetic lethal</w:t>
            </w:r>
            <w:r>
              <w:rPr>
                <w:rFonts w:eastAsia="Times New Roman" w:cstheme="minorHAnsi"/>
                <w:color w:val="000000"/>
                <w:lang w:val="en-IE" w:eastAsia="en-IE"/>
              </w:rPr>
              <w:t>s</w:t>
            </w:r>
          </w:p>
        </w:tc>
        <w:tc>
          <w:tcPr>
            <w:tcW w:w="1464" w:type="dxa"/>
            <w:tcBorders>
              <w:top w:val="nil"/>
              <w:left w:val="single" w:sz="4" w:space="0" w:color="auto"/>
              <w:bottom w:val="single" w:sz="4" w:space="0" w:color="auto"/>
              <w:right w:val="nil"/>
            </w:tcBorders>
            <w:shd w:val="clear" w:color="auto" w:fill="F2F2F2" w:themeFill="background1" w:themeFillShade="F2"/>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198</w:t>
            </w:r>
          </w:p>
        </w:tc>
        <w:tc>
          <w:tcPr>
            <w:tcW w:w="1465" w:type="dxa"/>
            <w:tcBorders>
              <w:top w:val="nil"/>
              <w:left w:val="nil"/>
              <w:bottom w:val="single" w:sz="4" w:space="0" w:color="auto"/>
            </w:tcBorders>
            <w:shd w:val="clear" w:color="auto" w:fill="auto"/>
            <w:noWrap/>
            <w:vAlign w:val="bottom"/>
            <w:hideMark/>
          </w:tcPr>
          <w:p w:rsidR="00096454" w:rsidRPr="00396471" w:rsidRDefault="00096454" w:rsidP="007A3FB2">
            <w:pPr>
              <w:spacing w:after="0" w:line="240" w:lineRule="auto"/>
              <w:jc w:val="right"/>
              <w:rPr>
                <w:rFonts w:ascii="Calibri" w:eastAsia="Times New Roman" w:hAnsi="Calibri" w:cs="Calibri"/>
                <w:color w:val="000000"/>
                <w:lang w:val="en-IE" w:eastAsia="en-IE"/>
              </w:rPr>
            </w:pPr>
            <w:r w:rsidRPr="00396471">
              <w:rPr>
                <w:rFonts w:ascii="Calibri" w:eastAsia="Times New Roman" w:hAnsi="Calibri" w:cs="Calibri"/>
                <w:color w:val="000000"/>
                <w:lang w:val="en-IE" w:eastAsia="en-IE"/>
              </w:rPr>
              <w:t>198</w:t>
            </w:r>
          </w:p>
        </w:tc>
      </w:tr>
      <w:tr w:rsidR="00096454" w:rsidRPr="00396471" w:rsidTr="007A3FB2">
        <w:trPr>
          <w:trHeight w:val="300"/>
          <w:jc w:val="center"/>
        </w:trPr>
        <w:tc>
          <w:tcPr>
            <w:tcW w:w="2560" w:type="dxa"/>
            <w:tcBorders>
              <w:top w:val="single" w:sz="4" w:space="0" w:color="auto"/>
              <w:left w:val="nil"/>
              <w:bottom w:val="single" w:sz="12" w:space="0" w:color="auto"/>
              <w:right w:val="single" w:sz="4"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color w:val="000000"/>
                <w:lang w:val="en-IE" w:eastAsia="en-IE"/>
              </w:rPr>
            </w:pPr>
            <w:r w:rsidRPr="00396471">
              <w:rPr>
                <w:rFonts w:eastAsia="Times New Roman" w:cstheme="minorHAnsi"/>
                <w:color w:val="000000"/>
                <w:lang w:val="en-IE" w:eastAsia="en-IE"/>
              </w:rPr>
              <w:t>Total number of interactions</w:t>
            </w:r>
          </w:p>
        </w:tc>
        <w:tc>
          <w:tcPr>
            <w:tcW w:w="2929" w:type="dxa"/>
            <w:gridSpan w:val="2"/>
            <w:tcBorders>
              <w:top w:val="single" w:sz="4" w:space="0" w:color="auto"/>
              <w:left w:val="single" w:sz="4" w:space="0" w:color="auto"/>
              <w:bottom w:val="single" w:sz="12" w:space="0" w:color="auto"/>
            </w:tcBorders>
            <w:shd w:val="clear" w:color="auto" w:fill="auto"/>
            <w:noWrap/>
            <w:vAlign w:val="bottom"/>
            <w:hideMark/>
          </w:tcPr>
          <w:p w:rsidR="00096454" w:rsidRPr="00396471" w:rsidRDefault="00096454" w:rsidP="007A3FB2">
            <w:pPr>
              <w:spacing w:after="0" w:line="240" w:lineRule="auto"/>
              <w:jc w:val="right"/>
              <w:rPr>
                <w:rFonts w:eastAsia="Times New Roman" w:cstheme="minorHAnsi"/>
                <w:color w:val="000000"/>
                <w:lang w:val="en-IE" w:eastAsia="en-IE"/>
              </w:rPr>
            </w:pPr>
            <w:r w:rsidRPr="00396471">
              <w:rPr>
                <w:rFonts w:eastAsia="Times New Roman" w:cstheme="minorHAnsi"/>
                <w:color w:val="000000"/>
                <w:lang w:val="en-IE" w:eastAsia="en-IE"/>
              </w:rPr>
              <w:t>89676</w:t>
            </w:r>
          </w:p>
        </w:tc>
      </w:tr>
    </w:tbl>
    <w:p w:rsidR="006B5FBB" w:rsidRDefault="00096454"/>
    <w:sectPr w:rsidR="006B5FBB" w:rsidSect="00446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A3FF3"/>
    <w:rsid w:val="00096454"/>
    <w:rsid w:val="00356966"/>
    <w:rsid w:val="004465EC"/>
    <w:rsid w:val="004E68C7"/>
    <w:rsid w:val="005A3FF3"/>
    <w:rsid w:val="006D32D8"/>
    <w:rsid w:val="007F20E4"/>
    <w:rsid w:val="009C3BA2"/>
    <w:rsid w:val="00CD5BAB"/>
    <w:rsid w:val="00DA7D33"/>
    <w:rsid w:val="00DB1821"/>
    <w:rsid w:val="00E657A8"/>
    <w:rsid w:val="00EF2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54"/>
    <w:pPr>
      <w:spacing w:line="360" w:lineRule="auto"/>
      <w:jc w:val="both"/>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2</cp:revision>
  <dcterms:created xsi:type="dcterms:W3CDTF">2012-09-25T14:45:00Z</dcterms:created>
  <dcterms:modified xsi:type="dcterms:W3CDTF">2012-09-25T14:46:00Z</dcterms:modified>
</cp:coreProperties>
</file>