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42CEC" w14:textId="77777777" w:rsidR="00C64623" w:rsidRDefault="00C64623" w:rsidP="00DE617B">
      <w:pPr>
        <w:pStyle w:val="MainLevel"/>
        <w:numPr>
          <w:ilvl w:val="0"/>
          <w:numId w:val="0"/>
        </w:numPr>
        <w:ind w:left="360" w:hanging="360"/>
      </w:pPr>
      <w:r>
        <w:t>Exercises (with Answers)</w:t>
      </w:r>
    </w:p>
    <w:p w14:paraId="680C41F5" w14:textId="77777777" w:rsidR="00C64623" w:rsidRDefault="00C64623" w:rsidP="00C64623">
      <w:pPr>
        <w:pStyle w:val="MainLevel"/>
        <w:numPr>
          <w:ilvl w:val="0"/>
          <w:numId w:val="0"/>
        </w:numPr>
      </w:pPr>
    </w:p>
    <w:p w14:paraId="394B4752" w14:textId="358CA99E" w:rsidR="00C64623" w:rsidRDefault="00C64623" w:rsidP="00C64623">
      <w:pPr>
        <w:pStyle w:val="ListParagraph"/>
        <w:numPr>
          <w:ilvl w:val="0"/>
          <w:numId w:val="2"/>
        </w:numPr>
      </w:pPr>
      <w:r>
        <w:t xml:space="preserve">Compare and contrast the basic types of data available in an Electronic </w:t>
      </w:r>
      <w:r w:rsidR="002D058B">
        <w:t>Health</w:t>
      </w:r>
      <w:r>
        <w:t xml:space="preserve"> Records (</w:t>
      </w:r>
      <w:r w:rsidR="002D058B">
        <w:t>EHR</w:t>
      </w:r>
      <w:r>
        <w:t xml:space="preserve">) that are useful for mining genetic data. What are some of the strengths and drawbacks of each type of data? </w:t>
      </w:r>
    </w:p>
    <w:p w14:paraId="17FBDD2C" w14:textId="77777777" w:rsidR="003666D8" w:rsidRDefault="003666D8" w:rsidP="003666D8">
      <w:pPr>
        <w:pStyle w:val="ListParagraph"/>
      </w:pPr>
    </w:p>
    <w:p w14:paraId="3460A64B" w14:textId="0DBFD189" w:rsidR="00C64623" w:rsidRDefault="003666D8" w:rsidP="00C64623">
      <w:pPr>
        <w:pStyle w:val="ListParagraph"/>
      </w:pPr>
      <w:proofErr w:type="gramStart"/>
      <w:r w:rsidRPr="00971AB4">
        <w:rPr>
          <w:b/>
        </w:rPr>
        <w:t>Answer</w:t>
      </w:r>
      <w:r>
        <w:t xml:space="preserve">: </w:t>
      </w:r>
      <w:r w:rsidR="00C64623">
        <w:t xml:space="preserve">See section </w:t>
      </w:r>
      <w:r>
        <w:t>2, “Classes of Data available in EHRs”, and Table 1.</w:t>
      </w:r>
      <w:proofErr w:type="gramEnd"/>
      <w:r>
        <w:t xml:space="preserve"> There is a tension between ease of querying, accuracy of data, and sensitivity of analysis when mining EHR data for clinical or genomic research.  For many </w:t>
      </w:r>
      <w:r w:rsidR="00241E3D">
        <w:t>diseases</w:t>
      </w:r>
      <w:r>
        <w:t xml:space="preserve">, ICD9s may have good sensitivity and provide an adequate level of diseases specificity (e.g., </w:t>
      </w:r>
      <w:r w:rsidR="00241E3D">
        <w:t>myocardial infarction</w:t>
      </w:r>
      <w:r>
        <w:t xml:space="preserve">) but for </w:t>
      </w:r>
      <w:proofErr w:type="gramStart"/>
      <w:r>
        <w:t>rarer</w:t>
      </w:r>
      <w:proofErr w:type="gramEnd"/>
      <w:r>
        <w:t xml:space="preserve"> diseases, other sources of information may be needed (e.g., ST-el</w:t>
      </w:r>
      <w:r w:rsidR="00241E3D">
        <w:t>evation myocardial infarction, n</w:t>
      </w:r>
      <w:r>
        <w:t>on-</w:t>
      </w:r>
      <w:proofErr w:type="spellStart"/>
      <w:r>
        <w:t>alchoholic</w:t>
      </w:r>
      <w:proofErr w:type="spellEnd"/>
      <w:r>
        <w:t xml:space="preserve"> </w:t>
      </w:r>
      <w:proofErr w:type="spellStart"/>
      <w:r>
        <w:t>steatohepatitis</w:t>
      </w:r>
      <w:proofErr w:type="spellEnd"/>
      <w:r>
        <w:t xml:space="preserve"> – neither of which have a specific ICD9 code). </w:t>
      </w:r>
    </w:p>
    <w:p w14:paraId="7AD865C2" w14:textId="77777777" w:rsidR="003666D8" w:rsidRDefault="003666D8" w:rsidP="00C64623">
      <w:pPr>
        <w:pStyle w:val="ListParagraph"/>
      </w:pPr>
    </w:p>
    <w:p w14:paraId="5AC4AD80" w14:textId="77777777" w:rsidR="00C64623" w:rsidRDefault="00C64623" w:rsidP="00C64623">
      <w:pPr>
        <w:pStyle w:val="ListParagraph"/>
        <w:numPr>
          <w:ilvl w:val="0"/>
          <w:numId w:val="2"/>
        </w:numPr>
      </w:pPr>
      <w:r>
        <w:t>Explain what a phenotype algorithm is and why it is necessary. For example, how can use of natural language processing improve upon use of billing codes alone?</w:t>
      </w:r>
    </w:p>
    <w:p w14:paraId="4640E23D" w14:textId="77777777" w:rsidR="003666D8" w:rsidRDefault="003666D8" w:rsidP="003666D8">
      <w:pPr>
        <w:pStyle w:val="ListParagraph"/>
      </w:pPr>
    </w:p>
    <w:p w14:paraId="423416BA" w14:textId="380F255B" w:rsidR="003666D8" w:rsidRDefault="003666D8" w:rsidP="003666D8">
      <w:pPr>
        <w:pStyle w:val="ListParagraph"/>
      </w:pPr>
      <w:r w:rsidRPr="00971AB4">
        <w:rPr>
          <w:b/>
        </w:rPr>
        <w:t>Answer</w:t>
      </w:r>
      <w:r>
        <w:t xml:space="preserve">: See section 6, “Phenotype-driven discovery in EHRs”.  </w:t>
      </w:r>
      <w:r w:rsidR="00241E3D">
        <w:t xml:space="preserve">Phenotype algorithms are typically combinations billing codes, laboratory (and other) tests, medication exposures, and/or natural language processing or text queries.  Algorithms can also use </w:t>
      </w:r>
      <w:proofErr w:type="gramStart"/>
      <w:r w:rsidR="00241E3D">
        <w:t>machine learning</w:t>
      </w:r>
      <w:proofErr w:type="gramEnd"/>
      <w:r w:rsidR="00241E3D">
        <w:t xml:space="preserve"> methods operating on large feature sets. Compared to simply querying a single mode of data, </w:t>
      </w:r>
      <w:r>
        <w:t xml:space="preserve">phenotype algorithms </w:t>
      </w:r>
      <w:r w:rsidR="00241E3D">
        <w:t>can</w:t>
      </w:r>
      <w:r>
        <w:t xml:space="preserve"> improve sensitivity, specificity, or both for discovery a given phenotype.  Reasons why multi-modal algorithms are needed include: lack of an available billing code or other structured reference, need to capture historical data, differentiating between multiple potentially ove</w:t>
      </w:r>
      <w:r w:rsidR="001E4203">
        <w:t>rlapping conditions, and capturing</w:t>
      </w:r>
      <w:r>
        <w:t xml:space="preserve"> rare events.  NLP can add to billing codes by allowing capture of more granular phenotypes (e.g., ST-e</w:t>
      </w:r>
      <w:r w:rsidR="001E4203">
        <w:t>levation myocardial infarction) and</w:t>
      </w:r>
      <w:r>
        <w:t xml:space="preserve"> serve to “confirm” a billing code via clinical docu</w:t>
      </w:r>
      <w:r w:rsidR="001E4203">
        <w:t>mentation or detect exclusions (e.g., patients with a family history of certain diseases).</w:t>
      </w:r>
    </w:p>
    <w:p w14:paraId="6358ABDE" w14:textId="77777777" w:rsidR="003666D8" w:rsidRDefault="003666D8" w:rsidP="003666D8">
      <w:pPr>
        <w:pStyle w:val="ListParagraph"/>
      </w:pPr>
    </w:p>
    <w:p w14:paraId="5BC65CBB" w14:textId="77777777" w:rsidR="00C64623" w:rsidRDefault="00C64623" w:rsidP="00C64623">
      <w:pPr>
        <w:pStyle w:val="ListParagraph"/>
        <w:numPr>
          <w:ilvl w:val="0"/>
          <w:numId w:val="2"/>
        </w:numPr>
      </w:pPr>
      <w:r>
        <w:t xml:space="preserve">Select a clinical disease and design a phenotype algorithm for it. </w:t>
      </w:r>
    </w:p>
    <w:p w14:paraId="63E06027" w14:textId="77777777" w:rsidR="003666D8" w:rsidRDefault="003666D8" w:rsidP="003666D8"/>
    <w:p w14:paraId="1952A297" w14:textId="77777777" w:rsidR="00471484" w:rsidRDefault="003666D8" w:rsidP="003666D8">
      <w:pPr>
        <w:ind w:left="720"/>
      </w:pPr>
      <w:r w:rsidRPr="00971AB4">
        <w:rPr>
          <w:b/>
        </w:rPr>
        <w:t>Answer</w:t>
      </w:r>
      <w:r>
        <w:t xml:space="preserve">: </w:t>
      </w:r>
      <w:r w:rsidR="00971AB4">
        <w:t xml:space="preserve">A </w:t>
      </w:r>
      <w:r w:rsidR="00D755B6">
        <w:t>general</w:t>
      </w:r>
      <w:r w:rsidR="00971AB4">
        <w:t xml:space="preserve"> approach, after selection of a disease to study</w:t>
      </w:r>
      <w:r w:rsidR="00D755B6">
        <w:t xml:space="preserve">, would be </w:t>
      </w:r>
      <w:r w:rsidR="00971AB4">
        <w:t xml:space="preserve">to identify </w:t>
      </w:r>
      <w:r w:rsidR="00D755B6">
        <w:t xml:space="preserve">relevant </w:t>
      </w:r>
      <w:r w:rsidR="00471484">
        <w:t xml:space="preserve">feature for the diagnosis, billing and treatment for the disease.  Often, these can be combined in an AND-OR-NOT Boolean logic.  </w:t>
      </w:r>
    </w:p>
    <w:p w14:paraId="7AB95851" w14:textId="77777777" w:rsidR="00471484" w:rsidRDefault="00471484" w:rsidP="003666D8">
      <w:pPr>
        <w:ind w:left="720"/>
      </w:pPr>
    </w:p>
    <w:p w14:paraId="5A7E1CF8" w14:textId="4124756D" w:rsidR="00B52F3B" w:rsidRDefault="00471484" w:rsidP="003666D8">
      <w:pPr>
        <w:ind w:left="720"/>
      </w:pPr>
      <w:r>
        <w:t xml:space="preserve">Consider Type 2 diabetes.  To identify </w:t>
      </w:r>
      <w:r w:rsidR="00D755B6">
        <w:t>billing codes</w:t>
      </w:r>
      <w:r w:rsidR="00971AB4">
        <w:t xml:space="preserve">, </w:t>
      </w:r>
      <w:r>
        <w:t>a number of public websites are available</w:t>
      </w:r>
      <w:r w:rsidR="00971AB4">
        <w:t xml:space="preserve"> (e.g., </w:t>
      </w:r>
      <w:hyperlink r:id="rId6" w:history="1">
        <w:r w:rsidR="00971AB4" w:rsidRPr="008346E9">
          <w:rPr>
            <w:rStyle w:val="Hyperlink"/>
          </w:rPr>
          <w:t>http://icd9cm.chrisendres.com/</w:t>
        </w:r>
      </w:hyperlink>
      <w:r w:rsidR="00971AB4">
        <w:t xml:space="preserve">).  </w:t>
      </w:r>
      <w:r w:rsidR="00B52F3B">
        <w:t xml:space="preserve">We will include the codes for Type 2 diabetes.  </w:t>
      </w:r>
      <w:r w:rsidR="00971AB4">
        <w:t>Then</w:t>
      </w:r>
      <w:r>
        <w:t>,</w:t>
      </w:r>
      <w:r w:rsidR="00971AB4">
        <w:t xml:space="preserve"> consult</w:t>
      </w:r>
      <w:r>
        <w:t>ing</w:t>
      </w:r>
      <w:r w:rsidR="00971AB4">
        <w:t xml:space="preserve"> general medical references for diagnostic criteria for </w:t>
      </w:r>
      <w:r>
        <w:t xml:space="preserve">diabetes </w:t>
      </w:r>
      <w:r w:rsidR="00971AB4">
        <w:t>and medications</w:t>
      </w:r>
      <w:r w:rsidR="00B52F3B">
        <w:t xml:space="preserve">, we see that </w:t>
      </w:r>
      <w:r w:rsidR="00971AB4">
        <w:t>diabetes is defined as a random glucose &gt; 200</w:t>
      </w:r>
      <w:r w:rsidR="00593B61">
        <w:t xml:space="preserve"> mg/dl</w:t>
      </w:r>
      <w:r w:rsidR="00971AB4">
        <w:t>, fasting glucose &gt; 126</w:t>
      </w:r>
      <w:r w:rsidR="00593B61">
        <w:t xml:space="preserve"> mg/dl</w:t>
      </w:r>
      <w:r w:rsidR="00971AB4">
        <w:t>, or hemoglobin A1c &gt; 6.5</w:t>
      </w:r>
      <w:r w:rsidR="009E36CE">
        <w:t>%</w:t>
      </w:r>
      <w:r w:rsidR="00971AB4">
        <w:t xml:space="preserve">.  </w:t>
      </w:r>
      <w:r>
        <w:t xml:space="preserve">However, since EHR-derived glucose values typically do not specify fasting or not (and even when they do, are often inaccurate), the second laboratory criteria is not that helpful.  Thus, we </w:t>
      </w:r>
      <w:r>
        <w:lastRenderedPageBreak/>
        <w:t>will use the A1c and random glucose cutoffs</w:t>
      </w:r>
      <w:r w:rsidR="00593B61">
        <w:t xml:space="preserve"> (&gt;200 </w:t>
      </w:r>
      <w:r w:rsidR="009E36CE">
        <w:t>mg/dl</w:t>
      </w:r>
      <w:r w:rsidR="00593B61">
        <w:t>)</w:t>
      </w:r>
      <w:r>
        <w:t xml:space="preserve">.  </w:t>
      </w:r>
      <w:r w:rsidR="00971AB4">
        <w:t xml:space="preserve">Type </w:t>
      </w:r>
      <w:proofErr w:type="gramStart"/>
      <w:r w:rsidR="00971AB4">
        <w:t>1 diabetes</w:t>
      </w:r>
      <w:proofErr w:type="gramEnd"/>
      <w:r w:rsidR="00971AB4">
        <w:t xml:space="preserve"> typically includes </w:t>
      </w:r>
      <w:r>
        <w:t xml:space="preserve">long and short acting insulin, and rarely includes oral medications.  </w:t>
      </w:r>
      <w:r w:rsidR="00593B61">
        <w:t>The mainstay of t</w:t>
      </w:r>
      <w:r>
        <w:t xml:space="preserve">ype </w:t>
      </w:r>
      <w:proofErr w:type="gramStart"/>
      <w:r>
        <w:t>2 diabetes</w:t>
      </w:r>
      <w:proofErr w:type="gramEnd"/>
      <w:r>
        <w:t xml:space="preserve"> </w:t>
      </w:r>
      <w:r w:rsidR="00593B61">
        <w:t xml:space="preserve">is </w:t>
      </w:r>
      <w:r w:rsidR="00B52F3B">
        <w:t>oral medications,</w:t>
      </w:r>
      <w:r w:rsidR="001E4203">
        <w:t xml:space="preserve"> with addition of insulin typically as the disease progresses and endogenous insulin production decreases,</w:t>
      </w:r>
      <w:r w:rsidR="00B52F3B">
        <w:t xml:space="preserve"> so we include a list of oral medication</w:t>
      </w:r>
      <w:r w:rsidR="001E4203">
        <w:t>s specific to t</w:t>
      </w:r>
      <w:r w:rsidR="00593B61">
        <w:t xml:space="preserve">ype 2 diabetes in our algorithm.  Finally, we may wish to exclude patients who have </w:t>
      </w:r>
      <w:r w:rsidR="009E36CE">
        <w:t>ever had a type 1 diabetes code, and patients who only had diabetes codes (or medications) during pregnancy.</w:t>
      </w:r>
      <w:r w:rsidR="001E4203">
        <w:t xml:space="preserve">  After proposing such an algorithm, it is important to run the algorithm and review cases to determine if it achieves a sufficient positive predictive value and an adequate number of cases. </w:t>
      </w:r>
      <w:r w:rsidR="00CD71AD">
        <w:t xml:space="preserve"> In some cases, one may wish to formally evaluate sensitivity (recall) as well.</w:t>
      </w:r>
    </w:p>
    <w:p w14:paraId="7627225A" w14:textId="77777777" w:rsidR="00B52F3B" w:rsidRDefault="00B52F3B" w:rsidP="003666D8">
      <w:pPr>
        <w:ind w:left="720"/>
      </w:pPr>
    </w:p>
    <w:p w14:paraId="31D5996D" w14:textId="32878799" w:rsidR="003666D8" w:rsidRDefault="00D755B6" w:rsidP="003666D8">
      <w:pPr>
        <w:ind w:left="720"/>
      </w:pPr>
      <w:r>
        <w:t>For a list of some current EHR phenotype algorithms</w:t>
      </w:r>
      <w:r w:rsidR="001E4203">
        <w:t xml:space="preserve"> (including algorithms for t</w:t>
      </w:r>
      <w:r w:rsidR="009E36CE">
        <w:t>ype 2 diabetes)</w:t>
      </w:r>
      <w:r>
        <w:t xml:space="preserve">, please see </w:t>
      </w:r>
      <w:hyperlink r:id="rId7" w:history="1">
        <w:r w:rsidRPr="0070650D">
          <w:rPr>
            <w:rStyle w:val="Hyperlink"/>
          </w:rPr>
          <w:t>http://PheKB.org</w:t>
        </w:r>
      </w:hyperlink>
      <w:r>
        <w:t xml:space="preserve">. </w:t>
      </w:r>
    </w:p>
    <w:p w14:paraId="6A6BBB98" w14:textId="77777777" w:rsidR="003666D8" w:rsidRDefault="003666D8" w:rsidP="003666D8">
      <w:pPr>
        <w:ind w:left="720"/>
      </w:pPr>
    </w:p>
    <w:p w14:paraId="42089D9F" w14:textId="71935480" w:rsidR="00C64623" w:rsidRDefault="00C64623" w:rsidP="00C64623">
      <w:pPr>
        <w:pStyle w:val="ListParagraph"/>
        <w:numPr>
          <w:ilvl w:val="0"/>
          <w:numId w:val="2"/>
        </w:numPr>
      </w:pPr>
      <w:r>
        <w:t xml:space="preserve">How might a phenotype algorithm be different for a very rare disease (e.g., prion diseases) vs. a more common one (e.g., Type 2 diabetes)? How would a phenotype algorithm be different for a physical exam finding (e.g., </w:t>
      </w:r>
      <w:proofErr w:type="spellStart"/>
      <w:r>
        <w:t>hippus</w:t>
      </w:r>
      <w:proofErr w:type="spellEnd"/>
      <w:r>
        <w:t xml:space="preserve"> or a </w:t>
      </w:r>
      <w:r w:rsidR="00DE617B">
        <w:t>murmur</w:t>
      </w:r>
      <w:r>
        <w:t>) vs. a disease?</w:t>
      </w:r>
    </w:p>
    <w:p w14:paraId="5F93A9B6" w14:textId="77777777" w:rsidR="003666D8" w:rsidRDefault="003666D8" w:rsidP="003666D8">
      <w:pPr>
        <w:pStyle w:val="ListParagraph"/>
      </w:pPr>
    </w:p>
    <w:p w14:paraId="3EE299DD" w14:textId="0693D423" w:rsidR="003666D8" w:rsidRDefault="003666D8" w:rsidP="003666D8">
      <w:pPr>
        <w:pStyle w:val="ListParagraph"/>
      </w:pPr>
      <w:r w:rsidRPr="009E36CE">
        <w:rPr>
          <w:b/>
        </w:rPr>
        <w:t>Answer</w:t>
      </w:r>
      <w:r>
        <w:t xml:space="preserve">: </w:t>
      </w:r>
      <w:r w:rsidR="00AC23B3">
        <w:t xml:space="preserve">See Section 6.2.  </w:t>
      </w:r>
      <w:r w:rsidR="00D755B6">
        <w:t>For a very rare disease</w:t>
      </w:r>
      <w:r w:rsidR="001E4203">
        <w:t xml:space="preserve"> (such as a prion disease)</w:t>
      </w:r>
      <w:r w:rsidR="00D755B6">
        <w:t xml:space="preserve">, one is likely to try to retrieve every possible case, </w:t>
      </w:r>
      <w:r w:rsidR="009E36CE">
        <w:t>and worry less for the algorithm’s positive predictive value.  In addition, for rare diseases, one is more likely to use a combination of billing codes, natural language processing, and</w:t>
      </w:r>
      <w:r w:rsidR="00DE617B">
        <w:t xml:space="preserve">/or lab tests, potentially </w:t>
      </w:r>
      <w:proofErr w:type="spellStart"/>
      <w:r w:rsidR="00DE617B">
        <w:t>unioned</w:t>
      </w:r>
      <w:proofErr w:type="spellEnd"/>
      <w:r w:rsidR="00DE617B">
        <w:t xml:space="preserve"> together.  For a physical exam finding like </w:t>
      </w:r>
      <w:proofErr w:type="spellStart"/>
      <w:r w:rsidR="00DE617B">
        <w:t>hippus</w:t>
      </w:r>
      <w:proofErr w:type="spellEnd"/>
      <w:r w:rsidR="00DE617B">
        <w:t>, one would need to perform a full text search of the EHR (there is not corresponding billing code, for instance).  For specific heart murmurs, one may want to restrict to notes</w:t>
      </w:r>
      <w:r w:rsidR="00CD71AD">
        <w:t xml:space="preserve"> written by cardiologists</w:t>
      </w:r>
      <w:r w:rsidR="00DE617B">
        <w:t xml:space="preserve">, or </w:t>
      </w:r>
      <w:r w:rsidR="00CD71AD">
        <w:t>instead use</w:t>
      </w:r>
      <w:r w:rsidR="00DE617B">
        <w:t xml:space="preserve"> echocardiograms that specifically interrogate valvular anatomy instead of relying on the physical exam itself.</w:t>
      </w:r>
    </w:p>
    <w:p w14:paraId="16357899" w14:textId="77777777" w:rsidR="003666D8" w:rsidRDefault="003666D8" w:rsidP="003666D8">
      <w:pPr>
        <w:pStyle w:val="ListParagraph"/>
      </w:pPr>
    </w:p>
    <w:p w14:paraId="1C6039BC" w14:textId="531A7298" w:rsidR="00C64623" w:rsidRDefault="00C64623" w:rsidP="00C64623">
      <w:pPr>
        <w:pStyle w:val="ListParagraph"/>
        <w:numPr>
          <w:ilvl w:val="0"/>
          <w:numId w:val="2"/>
        </w:numPr>
      </w:pPr>
      <w:r>
        <w:t xml:space="preserve">Describe the differences between a DNA </w:t>
      </w:r>
      <w:proofErr w:type="spellStart"/>
      <w:r>
        <w:t>biobank</w:t>
      </w:r>
      <w:proofErr w:type="spellEnd"/>
      <w:r>
        <w:t xml:space="preserve"> linked to an </w:t>
      </w:r>
      <w:r w:rsidR="002D058B">
        <w:t>EHR</w:t>
      </w:r>
      <w:r>
        <w:t xml:space="preserve"> and one collected as part of a non-</w:t>
      </w:r>
      <w:r w:rsidR="002D058B">
        <w:t>EHR</w:t>
      </w:r>
      <w:r>
        <w:t xml:space="preserve"> research cohort. What are the advantages and disadvantages of a de-identified DNA </w:t>
      </w:r>
      <w:proofErr w:type="spellStart"/>
      <w:r>
        <w:t>biobank</w:t>
      </w:r>
      <w:proofErr w:type="spellEnd"/>
      <w:r>
        <w:t xml:space="preserve"> vs. an identified DNA </w:t>
      </w:r>
      <w:proofErr w:type="spellStart"/>
      <w:r>
        <w:t>biobank</w:t>
      </w:r>
      <w:proofErr w:type="spellEnd"/>
      <w:r>
        <w:t xml:space="preserve"> (either linked to an </w:t>
      </w:r>
      <w:r w:rsidR="002D058B">
        <w:t>EHR</w:t>
      </w:r>
      <w:r>
        <w:t xml:space="preserve"> or not)</w:t>
      </w:r>
      <w:proofErr w:type="gramStart"/>
      <w:r>
        <w:t>.</w:t>
      </w:r>
      <w:proofErr w:type="gramEnd"/>
    </w:p>
    <w:p w14:paraId="4621500C" w14:textId="77777777" w:rsidR="002D058B" w:rsidRDefault="002D058B" w:rsidP="002D058B">
      <w:pPr>
        <w:pStyle w:val="ListParagraph"/>
        <w:rPr>
          <w:b/>
        </w:rPr>
      </w:pPr>
    </w:p>
    <w:p w14:paraId="5E026500" w14:textId="74BD14B9" w:rsidR="002D058B" w:rsidRDefault="002D058B" w:rsidP="002D058B">
      <w:pPr>
        <w:pStyle w:val="ListParagraph"/>
      </w:pPr>
      <w:r w:rsidRPr="00DE617B">
        <w:rPr>
          <w:b/>
        </w:rPr>
        <w:t>Answer</w:t>
      </w:r>
      <w:r>
        <w:t>: See Section 4 and 5.  One of the key advantages of a</w:t>
      </w:r>
      <w:r w:rsidR="00CD71AD">
        <w:t>n</w:t>
      </w:r>
      <w:r>
        <w:t xml:space="preserve"> EHR-associated biobanks is that they collect a diverse set of longitudinal data cheaply, and these observations are not biased toward a particular </w:t>
      </w:r>
      <w:r w:rsidR="00CD71AD">
        <w:t>phenotype</w:t>
      </w:r>
      <w:r>
        <w:t xml:space="preserve"> or study.  However, this data can be fragmented between different healthcare systems, lack in accuracy</w:t>
      </w:r>
      <w:r w:rsidR="00B72526">
        <w:t>, and may have biases toward conditions and findings that reimburse.  Moreover, the presumed diagnosis may not be validated to the same degree as it would in a research cohort</w:t>
      </w:r>
      <w:r w:rsidR="00CD71AD">
        <w:t xml:space="preserve"> (e.g., a physician may treat empirically for a given diagnosis without performing the confirmatory tests)</w:t>
      </w:r>
      <w:r w:rsidR="00B72526">
        <w:t>.  Certain study measurements, such as formal rating scales for rheumatoid arthritis severity or depression, common in research studies, are noticeably lacking</w:t>
      </w:r>
      <w:r w:rsidR="00CD71AD">
        <w:t xml:space="preserve"> in EHRs</w:t>
      </w:r>
      <w:r w:rsidR="00B72526">
        <w:t>.  Finally, follow-up in EHRs may be more sporadic than in clinical trials or observational cohorts.</w:t>
      </w:r>
    </w:p>
    <w:p w14:paraId="14D0F731" w14:textId="77777777" w:rsidR="00CD71AD" w:rsidRDefault="00CD71AD" w:rsidP="002D058B">
      <w:pPr>
        <w:pStyle w:val="ListParagraph"/>
      </w:pPr>
    </w:p>
    <w:p w14:paraId="2FA7E18D" w14:textId="651FE165" w:rsidR="00CD71AD" w:rsidRDefault="00CD71AD" w:rsidP="002D058B">
      <w:pPr>
        <w:pStyle w:val="ListParagraph"/>
      </w:pPr>
      <w:r>
        <w:t xml:space="preserve">Identified biobanks have an advantage over de-identified biobanks in that they allow </w:t>
      </w:r>
      <w:proofErr w:type="spellStart"/>
      <w:r>
        <w:t>recontact</w:t>
      </w:r>
      <w:proofErr w:type="spellEnd"/>
      <w:r>
        <w:t xml:space="preserve"> of participants, but they may accrue patients more slowly.</w:t>
      </w:r>
    </w:p>
    <w:p w14:paraId="3293A4F5" w14:textId="77777777" w:rsidR="003666D8" w:rsidRDefault="003666D8" w:rsidP="003666D8">
      <w:pPr>
        <w:pStyle w:val="ListParagraph"/>
      </w:pPr>
    </w:p>
    <w:p w14:paraId="4EDF7F44" w14:textId="0708A44B" w:rsidR="00C64623" w:rsidRDefault="00C64623" w:rsidP="00C64623">
      <w:pPr>
        <w:pStyle w:val="ListParagraph"/>
        <w:numPr>
          <w:ilvl w:val="0"/>
          <w:numId w:val="2"/>
        </w:numPr>
      </w:pPr>
      <w:r>
        <w:t>It is often harder to create algorithms to find drug-response phenotypes (such as adverse drug events) than for a chronic disease. Give several reasons why this might be.</w:t>
      </w:r>
    </w:p>
    <w:p w14:paraId="6F22260C" w14:textId="77777777" w:rsidR="003666D8" w:rsidRDefault="003666D8" w:rsidP="003666D8">
      <w:pPr>
        <w:pStyle w:val="ListParagraph"/>
      </w:pPr>
    </w:p>
    <w:p w14:paraId="0C1A8C1B" w14:textId="5FEA4C63" w:rsidR="003666D8" w:rsidRDefault="003666D8" w:rsidP="003666D8">
      <w:pPr>
        <w:pStyle w:val="ListParagraph"/>
      </w:pPr>
      <w:r w:rsidRPr="00DE617B">
        <w:rPr>
          <w:b/>
        </w:rPr>
        <w:t>Answer</w:t>
      </w:r>
      <w:r>
        <w:t xml:space="preserve">: </w:t>
      </w:r>
      <w:r w:rsidR="00B72526">
        <w:t xml:space="preserve">Drug-response </w:t>
      </w:r>
      <w:r w:rsidR="000B7D3D">
        <w:t>phenotypes typically require</w:t>
      </w:r>
      <w:r w:rsidR="00B72526">
        <w:t xml:space="preserve"> recognition of several phenotypes, sequenced in order, to achieve accuracy.  For instance, consider </w:t>
      </w:r>
      <w:r w:rsidR="000B7D3D">
        <w:t xml:space="preserve">evaluation of clopidogrel efficacy to prevent major cardiovascular events following placement of a cardiac stent: the patients need to have received a stent, by placed on (and </w:t>
      </w:r>
      <w:r w:rsidR="00166BEE">
        <w:t xml:space="preserve">be </w:t>
      </w:r>
      <w:r w:rsidR="000B7D3D">
        <w:t xml:space="preserve">compliant with) clopidogrel therapy, and then have subsequent measurement of whether the patient had a subsequent adverse event (myocardial infraction, stroke, revascularization, or death) while on clopidogrel. </w:t>
      </w:r>
      <w:r w:rsidR="00166BEE">
        <w:t>Subsequent events may occur at an outside hospital, leading to falsely representing a case as a control.  Compliance issues may lead to falsely include an individual in a study when they were not actually exposure to the medications.</w:t>
      </w:r>
      <w:bookmarkStart w:id="0" w:name="_GoBack"/>
      <w:bookmarkEnd w:id="0"/>
      <w:r w:rsidR="00166BEE">
        <w:t xml:space="preserve"> </w:t>
      </w:r>
      <w:r w:rsidR="000B7D3D">
        <w:t xml:space="preserve">Recognition of each of these elements has inaccuracies, whose errors can be additive.  </w:t>
      </w:r>
    </w:p>
    <w:p w14:paraId="717D9117" w14:textId="77777777" w:rsidR="00A67464" w:rsidRDefault="00A67464"/>
    <w:sectPr w:rsidR="00A67464" w:rsidSect="00A6746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111CE"/>
    <w:multiLevelType w:val="hybridMultilevel"/>
    <w:tmpl w:val="8250AB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27E67"/>
    <w:multiLevelType w:val="multilevel"/>
    <w:tmpl w:val="2AC40FCC"/>
    <w:lvl w:ilvl="0">
      <w:start w:val="1"/>
      <w:numFmt w:val="decimal"/>
      <w:pStyle w:val="MainLeve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subleve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23"/>
    <w:rsid w:val="000B7D3D"/>
    <w:rsid w:val="00166BEE"/>
    <w:rsid w:val="001E4203"/>
    <w:rsid w:val="00241E3D"/>
    <w:rsid w:val="002828C7"/>
    <w:rsid w:val="002D058B"/>
    <w:rsid w:val="003553D5"/>
    <w:rsid w:val="003666D8"/>
    <w:rsid w:val="00471484"/>
    <w:rsid w:val="004B0963"/>
    <w:rsid w:val="00593B61"/>
    <w:rsid w:val="00676D60"/>
    <w:rsid w:val="00971AB4"/>
    <w:rsid w:val="00986C0E"/>
    <w:rsid w:val="009E36CE"/>
    <w:rsid w:val="00A67464"/>
    <w:rsid w:val="00AC23B3"/>
    <w:rsid w:val="00B52F3B"/>
    <w:rsid w:val="00B72526"/>
    <w:rsid w:val="00C64623"/>
    <w:rsid w:val="00CD71AD"/>
    <w:rsid w:val="00D755B6"/>
    <w:rsid w:val="00DE617B"/>
    <w:rsid w:val="00EF1D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271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4623"/>
    <w:pPr>
      <w:ind w:left="720"/>
      <w:contextualSpacing/>
    </w:pPr>
    <w:rPr>
      <w:rFonts w:ascii="Times New Roman" w:eastAsia="Cambria" w:hAnsi="Times New Roman" w:cs="Times New Roman"/>
    </w:rPr>
  </w:style>
  <w:style w:type="paragraph" w:customStyle="1" w:styleId="sublevel">
    <w:name w:val="sublevel"/>
    <w:basedOn w:val="Normal"/>
    <w:uiPriority w:val="99"/>
    <w:rsid w:val="00C64623"/>
    <w:pPr>
      <w:numPr>
        <w:ilvl w:val="1"/>
        <w:numId w:val="1"/>
      </w:numPr>
      <w:spacing w:after="120"/>
    </w:pPr>
    <w:rPr>
      <w:rFonts w:ascii="Times New Roman" w:eastAsia="Cambria" w:hAnsi="Times New Roman" w:cs="Times New Roman"/>
      <w:i/>
    </w:rPr>
  </w:style>
  <w:style w:type="paragraph" w:customStyle="1" w:styleId="MainLevel">
    <w:name w:val="Main Level"/>
    <w:basedOn w:val="ListParagraph"/>
    <w:qFormat/>
    <w:rsid w:val="00C64623"/>
    <w:pPr>
      <w:numPr>
        <w:numId w:val="1"/>
      </w:numPr>
      <w:spacing w:after="240"/>
    </w:pPr>
    <w:rPr>
      <w:b/>
    </w:rPr>
  </w:style>
  <w:style w:type="character" w:styleId="Hyperlink">
    <w:name w:val="Hyperlink"/>
    <w:basedOn w:val="DefaultParagraphFont"/>
    <w:uiPriority w:val="99"/>
    <w:unhideWhenUsed/>
    <w:rsid w:val="00D755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4623"/>
    <w:pPr>
      <w:ind w:left="720"/>
      <w:contextualSpacing/>
    </w:pPr>
    <w:rPr>
      <w:rFonts w:ascii="Times New Roman" w:eastAsia="Cambria" w:hAnsi="Times New Roman" w:cs="Times New Roman"/>
    </w:rPr>
  </w:style>
  <w:style w:type="paragraph" w:customStyle="1" w:styleId="sublevel">
    <w:name w:val="sublevel"/>
    <w:basedOn w:val="Normal"/>
    <w:uiPriority w:val="99"/>
    <w:rsid w:val="00C64623"/>
    <w:pPr>
      <w:numPr>
        <w:ilvl w:val="1"/>
        <w:numId w:val="1"/>
      </w:numPr>
      <w:spacing w:after="120"/>
    </w:pPr>
    <w:rPr>
      <w:rFonts w:ascii="Times New Roman" w:eastAsia="Cambria" w:hAnsi="Times New Roman" w:cs="Times New Roman"/>
      <w:i/>
    </w:rPr>
  </w:style>
  <w:style w:type="paragraph" w:customStyle="1" w:styleId="MainLevel">
    <w:name w:val="Main Level"/>
    <w:basedOn w:val="ListParagraph"/>
    <w:qFormat/>
    <w:rsid w:val="00C64623"/>
    <w:pPr>
      <w:numPr>
        <w:numId w:val="1"/>
      </w:numPr>
      <w:spacing w:after="240"/>
    </w:pPr>
    <w:rPr>
      <w:b/>
    </w:rPr>
  </w:style>
  <w:style w:type="character" w:styleId="Hyperlink">
    <w:name w:val="Hyperlink"/>
    <w:basedOn w:val="DefaultParagraphFont"/>
    <w:uiPriority w:val="99"/>
    <w:unhideWhenUsed/>
    <w:rsid w:val="00D75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icd9cm.chrisendres.com/" TargetMode="External"/><Relationship Id="rId7" Type="http://schemas.openxmlformats.org/officeDocument/2006/relationships/hyperlink" Target="http://PheKB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1069</Words>
  <Characters>6094</Characters>
  <Application>Microsoft Macintosh Word</Application>
  <DocSecurity>0</DocSecurity>
  <Lines>50</Lines>
  <Paragraphs>14</Paragraphs>
  <ScaleCrop>false</ScaleCrop>
  <Company>Vanderbilt University School of Medicine</Company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 Denny</dc:creator>
  <cp:keywords/>
  <dc:description/>
  <cp:lastModifiedBy>Joshua C Denny</cp:lastModifiedBy>
  <cp:revision>7</cp:revision>
  <dcterms:created xsi:type="dcterms:W3CDTF">2012-10-15T17:45:00Z</dcterms:created>
  <dcterms:modified xsi:type="dcterms:W3CDTF">2012-10-16T01:51:00Z</dcterms:modified>
</cp:coreProperties>
</file>