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E0" w:rsidRDefault="00216917" w:rsidP="00E03AE0">
      <w:pPr>
        <w:pStyle w:val="Heading1"/>
        <w:rPr>
          <w:rFonts w:ascii="Times New Roman" w:hAnsi="Times New Roman" w:cs="Times New Roman"/>
        </w:rPr>
      </w:pPr>
      <w:r>
        <w:rPr>
          <w:rFonts w:ascii="Times New Roman" w:hAnsi="Times New Roman" w:cs="Times New Roman"/>
        </w:rPr>
        <w:t>Answers to</w:t>
      </w:r>
      <w:r w:rsidR="00E03AE0">
        <w:rPr>
          <w:rFonts w:ascii="Times New Roman" w:hAnsi="Times New Roman" w:cs="Times New Roman"/>
        </w:rPr>
        <w:t xml:space="preserve"> </w:t>
      </w:r>
      <w:r w:rsidR="00E03AE0" w:rsidRPr="007607F0">
        <w:rPr>
          <w:rFonts w:ascii="Times New Roman" w:hAnsi="Times New Roman" w:cs="Times New Roman"/>
        </w:rPr>
        <w:t>Exercises</w:t>
      </w:r>
    </w:p>
    <w:p w:rsidR="00E03AE0" w:rsidRPr="008223B2" w:rsidRDefault="00E03AE0" w:rsidP="00E03AE0"/>
    <w:p w:rsidR="00755010" w:rsidRDefault="00755010" w:rsidP="00755010">
      <w:r w:rsidRPr="00755010">
        <w:rPr>
          <w:rFonts w:ascii="Times New Roman" w:hAnsi="Times New Roman"/>
          <w:b/>
        </w:rPr>
        <w:t>(1)</w:t>
      </w:r>
      <w:r>
        <w:rPr>
          <w:rFonts w:ascii="Times New Roman" w:hAnsi="Times New Roman"/>
        </w:rPr>
        <w:t xml:space="preserve"> For the 260 aging related genes in Dataset S1, perform enrichment analysis using the Human Disease ontology, using Dataset S2 as the reference annotation set. Some considerations while working through the problem:</w:t>
      </w:r>
    </w:p>
    <w:p w:rsidR="00755010" w:rsidRPr="00497E1D" w:rsidRDefault="00755010" w:rsidP="00755010">
      <w:pPr>
        <w:numPr>
          <w:ilvl w:val="0"/>
          <w:numId w:val="4"/>
        </w:numPr>
        <w:spacing w:line="276" w:lineRule="auto"/>
        <w:ind w:hanging="360"/>
      </w:pPr>
      <w:r>
        <w:rPr>
          <w:rFonts w:ascii="Times New Roman" w:hAnsi="Times New Roman"/>
        </w:rPr>
        <w:t xml:space="preserve">The genes are listed with their </w:t>
      </w:r>
      <w:proofErr w:type="spellStart"/>
      <w:r>
        <w:rPr>
          <w:rFonts w:ascii="Times New Roman" w:hAnsi="Times New Roman"/>
        </w:rPr>
        <w:t>UniprotIDs</w:t>
      </w:r>
      <w:proofErr w:type="spellEnd"/>
      <w:r>
        <w:rPr>
          <w:rFonts w:ascii="Times New Roman" w:hAnsi="Times New Roman"/>
        </w:rPr>
        <w:t>.</w:t>
      </w:r>
    </w:p>
    <w:p w:rsidR="00932C09" w:rsidRDefault="00755010" w:rsidP="00932C09">
      <w:pPr>
        <w:numPr>
          <w:ilvl w:val="0"/>
          <w:numId w:val="4"/>
        </w:numPr>
        <w:spacing w:line="276" w:lineRule="auto"/>
        <w:ind w:hanging="360"/>
      </w:pPr>
      <w:r>
        <w:rPr>
          <w:rFonts w:ascii="Times New Roman" w:hAnsi="Times New Roman"/>
        </w:rPr>
        <w:t xml:space="preserve">Using the notation </w:t>
      </w:r>
      <w:r w:rsidR="00932C09">
        <w:rPr>
          <w:rFonts w:ascii="Times New Roman" w:hAnsi="Times New Roman"/>
        </w:rPr>
        <w:t>in section 1.1</w:t>
      </w:r>
      <w:r>
        <w:rPr>
          <w:rFonts w:ascii="Times New Roman" w:hAnsi="Times New Roman"/>
        </w:rPr>
        <w:t xml:space="preserve">, the values of </w:t>
      </w:r>
      <w:r>
        <w:rPr>
          <w:rFonts w:ascii="Times New Roman" w:hAnsi="Times New Roman"/>
          <w:i/>
        </w:rPr>
        <w:t>N</w:t>
      </w:r>
      <w:r>
        <w:rPr>
          <w:rFonts w:ascii="Times New Roman" w:hAnsi="Times New Roman"/>
        </w:rPr>
        <w:t xml:space="preserve"> and </w:t>
      </w:r>
      <w:r>
        <w:rPr>
          <w:rFonts w:ascii="Times New Roman" w:hAnsi="Times New Roman"/>
          <w:i/>
        </w:rPr>
        <w:t>M</w:t>
      </w:r>
      <w:r>
        <w:rPr>
          <w:rFonts w:ascii="Times New Roman" w:hAnsi="Times New Roman"/>
        </w:rPr>
        <w:t xml:space="preserve"> are the total number of unique genes in the aging set and total set, respectively, and </w:t>
      </w:r>
      <w:r>
        <w:rPr>
          <w:rFonts w:ascii="Times New Roman" w:hAnsi="Times New Roman"/>
          <w:i/>
        </w:rPr>
        <w:t>not</w:t>
      </w:r>
      <w:r>
        <w:rPr>
          <w:rFonts w:ascii="Times New Roman" w:hAnsi="Times New Roman"/>
        </w:rPr>
        <w:t xml:space="preserve"> the number of unique terms. The values of </w:t>
      </w:r>
      <w:r>
        <w:rPr>
          <w:rFonts w:ascii="Times New Roman" w:hAnsi="Times New Roman"/>
          <w:i/>
        </w:rPr>
        <w:t>n</w:t>
      </w:r>
      <w:r>
        <w:rPr>
          <w:rFonts w:ascii="Times New Roman" w:hAnsi="Times New Roman"/>
        </w:rPr>
        <w:t xml:space="preserve"> and </w:t>
      </w:r>
      <w:r>
        <w:rPr>
          <w:rFonts w:ascii="Times New Roman" w:hAnsi="Times New Roman"/>
          <w:i/>
        </w:rPr>
        <w:t>m</w:t>
      </w:r>
      <w:r>
        <w:rPr>
          <w:rFonts w:ascii="Times New Roman" w:hAnsi="Times New Roman"/>
        </w:rPr>
        <w:t xml:space="preserve"> are the unique genes that are annotated with a given term in the corresponding set.</w:t>
      </w:r>
    </w:p>
    <w:p w:rsidR="00932C09" w:rsidRPr="00932C09" w:rsidRDefault="00932C09" w:rsidP="00932C09">
      <w:pPr>
        <w:numPr>
          <w:ilvl w:val="0"/>
          <w:numId w:val="4"/>
        </w:numPr>
        <w:spacing w:line="276" w:lineRule="auto"/>
        <w:ind w:hanging="360"/>
      </w:pPr>
      <w:bookmarkStart w:id="0" w:name="_GoBack"/>
      <w:bookmarkEnd w:id="0"/>
      <w:r w:rsidRPr="00932C09">
        <w:rPr>
          <w:rFonts w:ascii="Times New Roman" w:hAnsi="Times New Roman"/>
        </w:rPr>
        <w:t xml:space="preserve">When performing the </w:t>
      </w:r>
      <w:proofErr w:type="spellStart"/>
      <w:r w:rsidRPr="00932C09">
        <w:rPr>
          <w:rFonts w:ascii="Times New Roman" w:hAnsi="Times New Roman"/>
        </w:rPr>
        <w:t>hypergeometric</w:t>
      </w:r>
      <w:proofErr w:type="spellEnd"/>
      <w:r w:rsidRPr="00932C09">
        <w:rPr>
          <w:rFonts w:ascii="Times New Roman" w:hAnsi="Times New Roman"/>
        </w:rPr>
        <w:t xml:space="preserve"> test, if the test calculates the p value based on finding a value of n greater than or less than what was observed (instead of equal to what was observed) remember to add or subtract 1 from the number of genes annotated with a given term when calculating. If you are using a function to calculate, refer to the documentation to understand the input required.</w:t>
      </w:r>
    </w:p>
    <w:p w:rsidR="00755010" w:rsidRDefault="00755010" w:rsidP="00755010">
      <w:pPr>
        <w:numPr>
          <w:ilvl w:val="0"/>
          <w:numId w:val="4"/>
        </w:numPr>
        <w:spacing w:line="276" w:lineRule="auto"/>
        <w:ind w:hanging="360"/>
      </w:pPr>
      <w:r>
        <w:rPr>
          <w:rFonts w:ascii="Times New Roman" w:hAnsi="Times New Roman"/>
        </w:rPr>
        <w:t xml:space="preserve">Consider from which tail of the </w:t>
      </w:r>
      <w:proofErr w:type="spellStart"/>
      <w:r>
        <w:rPr>
          <w:rFonts w:ascii="Times New Roman" w:hAnsi="Times New Roman"/>
        </w:rPr>
        <w:t>hypergeometric</w:t>
      </w:r>
      <w:proofErr w:type="spellEnd"/>
      <w:r>
        <w:rPr>
          <w:rFonts w:ascii="Times New Roman" w:hAnsi="Times New Roman"/>
        </w:rPr>
        <w:t xml:space="preserve"> distribution you wish to calculate the </w:t>
      </w:r>
      <w:r>
        <w:rPr>
          <w:rFonts w:ascii="Times New Roman" w:hAnsi="Times New Roman"/>
          <w:i/>
        </w:rPr>
        <w:t>p</w:t>
      </w:r>
      <w:r>
        <w:rPr>
          <w:rFonts w:ascii="Times New Roman" w:hAnsi="Times New Roman"/>
        </w:rPr>
        <w:t xml:space="preserve"> value.</w:t>
      </w:r>
    </w:p>
    <w:p w:rsidR="00E03AE0" w:rsidRDefault="00E03AE0" w:rsidP="00E03AE0">
      <w:pPr>
        <w:rPr>
          <w:rFonts w:ascii="Times New Roman" w:hAnsi="Times New Roman"/>
        </w:rPr>
      </w:pPr>
    </w:p>
    <w:p w:rsidR="00E03AE0" w:rsidRDefault="00E03AE0" w:rsidP="00E03AE0">
      <w:pPr>
        <w:rPr>
          <w:rFonts w:ascii="Times New Roman" w:hAnsi="Times New Roman"/>
          <w:i/>
        </w:rPr>
      </w:pPr>
      <w:r w:rsidRPr="00E03AE0">
        <w:rPr>
          <w:rFonts w:ascii="Times New Roman" w:hAnsi="Times New Roman"/>
          <w:b/>
        </w:rPr>
        <w:t>Answer:</w:t>
      </w:r>
      <w:r>
        <w:rPr>
          <w:rFonts w:ascii="Times New Roman" w:hAnsi="Times New Roman"/>
        </w:rPr>
        <w:t xml:space="preserve"> </w:t>
      </w:r>
      <w:r w:rsidRPr="00E03AE0">
        <w:rPr>
          <w:rFonts w:ascii="Times New Roman" w:hAnsi="Times New Roman"/>
          <w:i/>
        </w:rPr>
        <w:t xml:space="preserve">For list of disease categories deemed enriched as answers to question 1, see </w:t>
      </w:r>
      <w:r w:rsidR="00A674A3">
        <w:rPr>
          <w:rFonts w:ascii="Times New Roman" w:hAnsi="Times New Roman"/>
          <w:i/>
        </w:rPr>
        <w:t>Table S1</w:t>
      </w:r>
      <w:r w:rsidRPr="00E03AE0">
        <w:rPr>
          <w:rFonts w:ascii="Times New Roman" w:hAnsi="Times New Roman"/>
          <w:i/>
        </w:rPr>
        <w:t>.</w:t>
      </w:r>
    </w:p>
    <w:p w:rsidR="00E52E51" w:rsidRDefault="00E52E51" w:rsidP="00E03AE0">
      <w:pPr>
        <w:rPr>
          <w:rFonts w:ascii="Times New Roman" w:hAnsi="Times New Roman"/>
          <w:i/>
        </w:rPr>
      </w:pPr>
    </w:p>
    <w:p w:rsidR="00755010" w:rsidRDefault="00755010" w:rsidP="00755010">
      <w:r w:rsidRPr="00755010">
        <w:rPr>
          <w:rFonts w:ascii="Times New Roman" w:hAnsi="Times New Roman"/>
          <w:b/>
        </w:rPr>
        <w:t>(2)</w:t>
      </w:r>
      <w:r>
        <w:rPr>
          <w:rFonts w:ascii="Times New Roman" w:hAnsi="Times New Roman"/>
        </w:rPr>
        <w:t xml:space="preserve"> For the 260 aging related genes, perform enrichment analysis using SNOMED-CT (</w:t>
      </w:r>
      <w:r>
        <w:rPr>
          <w:rFonts w:ascii="Times New Roman" w:hAnsi="Times New Roman"/>
          <w:color w:val="222222"/>
          <w:highlight w:val="white"/>
        </w:rPr>
        <w:t>Systematized Nomenclature of Medicine-Clinical Terms)</w:t>
      </w:r>
      <w:r>
        <w:rPr>
          <w:rFonts w:ascii="Times New Roman" w:hAnsi="Times New Roman"/>
        </w:rPr>
        <w:t xml:space="preserve">. Use the </w:t>
      </w:r>
      <w:proofErr w:type="spellStart"/>
      <w:r>
        <w:rPr>
          <w:rFonts w:ascii="Times New Roman" w:hAnsi="Times New Roman"/>
        </w:rPr>
        <w:t>GeneRIF</w:t>
      </w:r>
      <w:proofErr w:type="spellEnd"/>
      <w:r>
        <w:rPr>
          <w:rFonts w:ascii="Times New Roman" w:hAnsi="Times New Roman"/>
        </w:rPr>
        <w:t xml:space="preserve"> (Gene Reference into Function) database as the source text to annotate with disease terms from SNOMED-CT. Choose an appropriate reference annotation set and justify the choice. Some considerations while working through the problem:</w:t>
      </w:r>
    </w:p>
    <w:p w:rsidR="00755010" w:rsidRDefault="00755010" w:rsidP="00755010">
      <w:pPr>
        <w:numPr>
          <w:ilvl w:val="0"/>
          <w:numId w:val="5"/>
        </w:numPr>
        <w:spacing w:line="276" w:lineRule="auto"/>
        <w:ind w:hanging="360"/>
      </w:pPr>
      <w:r>
        <w:rPr>
          <w:rFonts w:ascii="Times New Roman" w:hAnsi="Times New Roman"/>
        </w:rPr>
        <w:t xml:space="preserve">An index of </w:t>
      </w:r>
      <w:proofErr w:type="spellStart"/>
      <w:r>
        <w:rPr>
          <w:rFonts w:ascii="Times New Roman" w:hAnsi="Times New Roman"/>
        </w:rPr>
        <w:t>GeneRIFs</w:t>
      </w:r>
      <w:proofErr w:type="spellEnd"/>
      <w:r>
        <w:rPr>
          <w:rFonts w:ascii="Times New Roman" w:hAnsi="Times New Roman"/>
        </w:rPr>
        <w:t xml:space="preserve">, maintained by the National Center for Biotechnology Information (NCBI) and the National Institutes of Health (NIH), can be downloaded from here: </w:t>
      </w:r>
      <w:hyperlink r:id="rId6">
        <w:r>
          <w:rPr>
            <w:rFonts w:ascii="Times New Roman" w:hAnsi="Times New Roman"/>
            <w:color w:val="1155CC"/>
            <w:u w:val="single"/>
          </w:rPr>
          <w:t>ftp://ftp.ncbi.nih.gov/gene/GeneRIF/</w:t>
        </w:r>
      </w:hyperlink>
    </w:p>
    <w:p w:rsidR="00755010" w:rsidRDefault="00755010" w:rsidP="00755010">
      <w:pPr>
        <w:numPr>
          <w:ilvl w:val="0"/>
          <w:numId w:val="5"/>
        </w:numPr>
        <w:spacing w:line="276" w:lineRule="auto"/>
        <w:ind w:hanging="360"/>
      </w:pPr>
      <w:r>
        <w:rPr>
          <w:rFonts w:ascii="Times New Roman" w:hAnsi="Times New Roman"/>
        </w:rPr>
        <w:t xml:space="preserve">Mapping from </w:t>
      </w:r>
      <w:proofErr w:type="spellStart"/>
      <w:r>
        <w:rPr>
          <w:rFonts w:ascii="Times New Roman" w:hAnsi="Times New Roman"/>
        </w:rPr>
        <w:t>UniprotIDs</w:t>
      </w:r>
      <w:proofErr w:type="spellEnd"/>
      <w:r>
        <w:rPr>
          <w:rFonts w:ascii="Times New Roman" w:hAnsi="Times New Roman"/>
        </w:rPr>
        <w:t xml:space="preserve"> to </w:t>
      </w:r>
      <w:proofErr w:type="spellStart"/>
      <w:r>
        <w:rPr>
          <w:rFonts w:ascii="Times New Roman" w:hAnsi="Times New Roman"/>
        </w:rPr>
        <w:t>GeneIDs</w:t>
      </w:r>
      <w:proofErr w:type="spellEnd"/>
      <w:r>
        <w:rPr>
          <w:rFonts w:ascii="Times New Roman" w:hAnsi="Times New Roman"/>
        </w:rPr>
        <w:t xml:space="preserve">, which are used in the </w:t>
      </w:r>
      <w:proofErr w:type="spellStart"/>
      <w:r>
        <w:rPr>
          <w:rFonts w:ascii="Times New Roman" w:hAnsi="Times New Roman"/>
        </w:rPr>
        <w:t>GeneRIF</w:t>
      </w:r>
      <w:proofErr w:type="spellEnd"/>
      <w:r>
        <w:rPr>
          <w:rFonts w:ascii="Times New Roman" w:hAnsi="Times New Roman"/>
        </w:rPr>
        <w:t xml:space="preserve"> database, can be done here: </w:t>
      </w:r>
      <w:hyperlink r:id="rId7">
        <w:r>
          <w:rPr>
            <w:rFonts w:ascii="Times New Roman" w:hAnsi="Times New Roman"/>
            <w:color w:val="1155CC"/>
            <w:u w:val="single"/>
          </w:rPr>
          <w:t>http://www.uniprot.org/help/mapping</w:t>
        </w:r>
      </w:hyperlink>
      <w:r>
        <w:rPr>
          <w:rFonts w:ascii="Times New Roman" w:hAnsi="Times New Roman"/>
          <w:color w:val="1155CC"/>
        </w:rPr>
        <w:t xml:space="preserve">. </w:t>
      </w:r>
      <w:r w:rsidRPr="00C92F04">
        <w:rPr>
          <w:rFonts w:ascii="Times New Roman" w:hAnsi="Times New Roman"/>
        </w:rPr>
        <w:t xml:space="preserve">Note that you will get 261 </w:t>
      </w:r>
      <w:proofErr w:type="spellStart"/>
      <w:r w:rsidRPr="00C92F04">
        <w:rPr>
          <w:rFonts w:ascii="Times New Roman" w:hAnsi="Times New Roman"/>
        </w:rPr>
        <w:t>GeneIDs</w:t>
      </w:r>
      <w:proofErr w:type="spellEnd"/>
      <w:r w:rsidRPr="00C92F04">
        <w:rPr>
          <w:rFonts w:ascii="Times New Roman" w:hAnsi="Times New Roman"/>
        </w:rPr>
        <w:t xml:space="preserve"> for the 260 </w:t>
      </w:r>
      <w:proofErr w:type="spellStart"/>
      <w:r w:rsidRPr="00C92F04">
        <w:rPr>
          <w:rFonts w:ascii="Times New Roman" w:hAnsi="Times New Roman"/>
        </w:rPr>
        <w:t>UniprotIDs</w:t>
      </w:r>
      <w:proofErr w:type="spellEnd"/>
      <w:r>
        <w:rPr>
          <w:rFonts w:ascii="Times New Roman" w:hAnsi="Times New Roman"/>
        </w:rPr>
        <w:t>.</w:t>
      </w:r>
    </w:p>
    <w:p w:rsidR="00755010" w:rsidRDefault="00755010" w:rsidP="00755010">
      <w:pPr>
        <w:numPr>
          <w:ilvl w:val="0"/>
          <w:numId w:val="5"/>
        </w:numPr>
        <w:spacing w:line="276" w:lineRule="auto"/>
        <w:ind w:hanging="360"/>
      </w:pPr>
      <w:r>
        <w:rPr>
          <w:rFonts w:ascii="Times New Roman" w:hAnsi="Times New Roman"/>
        </w:rPr>
        <w:t xml:space="preserve">Annotation using the National Center for Biomedical Ontology’s </w:t>
      </w:r>
      <w:proofErr w:type="spellStart"/>
      <w:r>
        <w:rPr>
          <w:rFonts w:ascii="Times New Roman" w:hAnsi="Times New Roman"/>
        </w:rPr>
        <w:t>BioPortal</w:t>
      </w:r>
      <w:proofErr w:type="spellEnd"/>
      <w:r>
        <w:rPr>
          <w:rFonts w:ascii="Times New Roman" w:hAnsi="Times New Roman"/>
        </w:rPr>
        <w:t xml:space="preserve"> Annotator Service requires obtaining an API key. This can be done after registration and going </w:t>
      </w:r>
      <w:proofErr w:type="spellStart"/>
      <w:r>
        <w:rPr>
          <w:rFonts w:ascii="Times New Roman" w:hAnsi="Times New Roman"/>
        </w:rPr>
        <w:t>to</w:t>
      </w:r>
      <w:r>
        <w:rPr>
          <w:rFonts w:ascii="Times New Roman" w:hAnsi="Times New Roman"/>
          <w:highlight w:val="white"/>
        </w:rPr>
        <w:t>"Account</w:t>
      </w:r>
      <w:proofErr w:type="spellEnd"/>
      <w:r>
        <w:rPr>
          <w:rFonts w:ascii="Times New Roman" w:hAnsi="Times New Roman"/>
          <w:highlight w:val="white"/>
        </w:rPr>
        <w:t>" where your API key will be displayed</w:t>
      </w:r>
      <w:r>
        <w:rPr>
          <w:rFonts w:ascii="Times New Roman" w:hAnsi="Times New Roman"/>
        </w:rPr>
        <w:t xml:space="preserve">: </w:t>
      </w:r>
      <w:hyperlink r:id="rId8">
        <w:r>
          <w:rPr>
            <w:rFonts w:ascii="Times New Roman" w:hAnsi="Times New Roman"/>
            <w:color w:val="1155CC"/>
            <w:u w:val="single"/>
          </w:rPr>
          <w:t>http://bioportal.bioontology.org/</w:t>
        </w:r>
      </w:hyperlink>
    </w:p>
    <w:p w:rsidR="00755010" w:rsidRDefault="00755010" w:rsidP="00755010">
      <w:pPr>
        <w:numPr>
          <w:ilvl w:val="0"/>
          <w:numId w:val="5"/>
        </w:numPr>
        <w:spacing w:line="276" w:lineRule="auto"/>
        <w:ind w:hanging="360"/>
      </w:pPr>
      <w:r>
        <w:rPr>
          <w:rFonts w:ascii="Times New Roman" w:hAnsi="Times New Roman"/>
        </w:rPr>
        <w:t xml:space="preserve">Information on the programmatic use of the </w:t>
      </w:r>
      <w:proofErr w:type="spellStart"/>
      <w:r>
        <w:rPr>
          <w:rFonts w:ascii="Times New Roman" w:hAnsi="Times New Roman"/>
        </w:rPr>
        <w:t>BioPortal</w:t>
      </w:r>
      <w:proofErr w:type="spellEnd"/>
      <w:r>
        <w:rPr>
          <w:rFonts w:ascii="Times New Roman" w:hAnsi="Times New Roman"/>
        </w:rPr>
        <w:t xml:space="preserve"> Annotator as a client can be found here: </w:t>
      </w:r>
      <w:hyperlink r:id="rId9">
        <w:r>
          <w:rPr>
            <w:rFonts w:ascii="Times New Roman" w:hAnsi="Times New Roman"/>
            <w:color w:val="1155CC"/>
            <w:u w:val="single"/>
          </w:rPr>
          <w:t>http://www.bioontology.org/wiki/index.php/Annotator_Web_service</w:t>
        </w:r>
      </w:hyperlink>
      <w:r>
        <w:rPr>
          <w:rFonts w:ascii="Times New Roman" w:hAnsi="Times New Roman"/>
        </w:rPr>
        <w:t xml:space="preserve">. Example code from numerous languages, including Java, R, Python, Ruby, Excel, HTML, and Perl, can be found here: </w:t>
      </w:r>
      <w:hyperlink r:id="rId10">
        <w:r>
          <w:rPr>
            <w:rFonts w:ascii="Times New Roman" w:hAnsi="Times New Roman"/>
            <w:color w:val="1155CC"/>
            <w:u w:val="single"/>
          </w:rPr>
          <w:t>http://www.bioontology.org/wiki/index.php/Annotator_Client_Examples</w:t>
        </w:r>
      </w:hyperlink>
      <w:r>
        <w:rPr>
          <w:rFonts w:ascii="Times New Roman" w:hAnsi="Times New Roman"/>
        </w:rPr>
        <w:t xml:space="preserve">. </w:t>
      </w:r>
      <w:r>
        <w:rPr>
          <w:rFonts w:ascii="Times New Roman" w:hAnsi="Times New Roman"/>
          <w:highlight w:val="white"/>
        </w:rPr>
        <w:t>All NCBO REST Web services require the parameter "</w:t>
      </w:r>
      <w:proofErr w:type="spellStart"/>
      <w:r>
        <w:rPr>
          <w:rFonts w:ascii="Times New Roman" w:hAnsi="Times New Roman"/>
          <w:highlight w:val="white"/>
        </w:rPr>
        <w:t>apikey</w:t>
      </w:r>
      <w:proofErr w:type="spellEnd"/>
      <w:r>
        <w:rPr>
          <w:rFonts w:ascii="Times New Roman" w:hAnsi="Times New Roman"/>
          <w:highlight w:val="white"/>
        </w:rPr>
        <w:t>=</w:t>
      </w:r>
      <w:proofErr w:type="spellStart"/>
      <w:r>
        <w:rPr>
          <w:rFonts w:ascii="Times New Roman" w:hAnsi="Times New Roman"/>
          <w:highlight w:val="white"/>
        </w:rPr>
        <w:t>YourApiKey</w:t>
      </w:r>
      <w:proofErr w:type="spellEnd"/>
      <w:r>
        <w:rPr>
          <w:rFonts w:ascii="Times New Roman" w:hAnsi="Times New Roman"/>
          <w:highlight w:val="white"/>
        </w:rPr>
        <w:t xml:space="preserve">". It is strongly encouraged that all users of the NCBO Annotator Web service use only the </w:t>
      </w:r>
      <w:r>
        <w:rPr>
          <w:rFonts w:ascii="Times New Roman" w:hAnsi="Times New Roman"/>
          <w:b/>
          <w:highlight w:val="white"/>
        </w:rPr>
        <w:t>virtual ontology identifier</w:t>
      </w:r>
      <w:r>
        <w:rPr>
          <w:rFonts w:ascii="Times New Roman" w:hAnsi="Times New Roman"/>
          <w:highlight w:val="white"/>
        </w:rPr>
        <w:t>. To do so, set the "</w:t>
      </w:r>
      <w:proofErr w:type="spellStart"/>
      <w:r>
        <w:rPr>
          <w:rFonts w:ascii="Times New Roman" w:hAnsi="Times New Roman"/>
          <w:highlight w:val="white"/>
        </w:rPr>
        <w:t>isVirtualOntolgyId</w:t>
      </w:r>
      <w:proofErr w:type="spellEnd"/>
      <w:r>
        <w:rPr>
          <w:rFonts w:ascii="Times New Roman" w:hAnsi="Times New Roman"/>
          <w:highlight w:val="white"/>
        </w:rPr>
        <w:t>" parameter to "true". This will ensure that you access the version of the ontology that is actually in the database. Failure to do this will result in your code breaking every time the database is updated.</w:t>
      </w:r>
    </w:p>
    <w:p w:rsidR="00755010" w:rsidRDefault="00755010" w:rsidP="00755010">
      <w:pPr>
        <w:numPr>
          <w:ilvl w:val="0"/>
          <w:numId w:val="5"/>
        </w:numPr>
        <w:spacing w:line="276" w:lineRule="auto"/>
        <w:ind w:hanging="360"/>
      </w:pPr>
      <w:r>
        <w:rPr>
          <w:rFonts w:ascii="Times New Roman" w:hAnsi="Times New Roman"/>
        </w:rPr>
        <w:t xml:space="preserve">Output from the annotation service can be conveniently parsed in XML. To see an example of what this might look like, visit </w:t>
      </w:r>
      <w:hyperlink r:id="rId11">
        <w:r>
          <w:rPr>
            <w:rFonts w:ascii="Times New Roman" w:hAnsi="Times New Roman"/>
            <w:color w:val="1155CC"/>
            <w:u w:val="single"/>
          </w:rPr>
          <w:t>http://bioportal.bioontology.org/annotator</w:t>
        </w:r>
      </w:hyperlink>
      <w:r>
        <w:rPr>
          <w:rFonts w:ascii="Times New Roman" w:hAnsi="Times New Roman"/>
        </w:rPr>
        <w:t>. Insert the sample text or use text of your choice, makes selection(s) under ‘Select Ontologies’ and ‘Select UMLS Semantic Types’ and click ‘Get Annotations’. At the bottom by ‘Format Results As’ you can select XML to see the XML tree structure of the Annotator output.</w:t>
      </w:r>
    </w:p>
    <w:p w:rsidR="00755010" w:rsidRDefault="00755010" w:rsidP="00755010">
      <w:pPr>
        <w:numPr>
          <w:ilvl w:val="0"/>
          <w:numId w:val="5"/>
        </w:numPr>
        <w:spacing w:line="276" w:lineRule="auto"/>
        <w:ind w:hanging="360"/>
      </w:pPr>
      <w:r>
        <w:rPr>
          <w:rFonts w:ascii="Times New Roman" w:hAnsi="Times New Roman"/>
        </w:rPr>
        <w:lastRenderedPageBreak/>
        <w:t xml:space="preserve">The suggested ontology for this exercise is SNOMED-CT (ontology ID: 1353) and semantic types Anatomical Structure (T017), Disease or Syndrome (T047), Neoplastic Process (T191), and NCBO </w:t>
      </w:r>
      <w:proofErr w:type="spellStart"/>
      <w:r>
        <w:rPr>
          <w:rFonts w:ascii="Times New Roman" w:hAnsi="Times New Roman"/>
        </w:rPr>
        <w:t>BioPortal</w:t>
      </w:r>
      <w:proofErr w:type="spellEnd"/>
      <w:r>
        <w:rPr>
          <w:rFonts w:ascii="Times New Roman" w:hAnsi="Times New Roman"/>
        </w:rPr>
        <w:t xml:space="preserve"> concept (T999).</w:t>
      </w:r>
    </w:p>
    <w:p w:rsidR="00755010" w:rsidRDefault="00755010" w:rsidP="00755010">
      <w:pPr>
        <w:numPr>
          <w:ilvl w:val="0"/>
          <w:numId w:val="5"/>
        </w:numPr>
        <w:spacing w:line="276" w:lineRule="auto"/>
        <w:ind w:hanging="360"/>
      </w:pPr>
      <w:r>
        <w:rPr>
          <w:rFonts w:ascii="Times New Roman" w:hAnsi="Times New Roman"/>
        </w:rPr>
        <w:t xml:space="preserve">Some processing of the </w:t>
      </w:r>
      <w:proofErr w:type="spellStart"/>
      <w:r>
        <w:rPr>
          <w:rFonts w:ascii="Times New Roman" w:hAnsi="Times New Roman"/>
        </w:rPr>
        <w:t>GeneRIF</w:t>
      </w:r>
      <w:proofErr w:type="spellEnd"/>
      <w:r>
        <w:rPr>
          <w:rFonts w:ascii="Times New Roman" w:hAnsi="Times New Roman"/>
        </w:rPr>
        <w:t xml:space="preserve"> text may be necessary to prevent errors in annotation. It is suggested to remove </w:t>
      </w:r>
      <w:proofErr w:type="spellStart"/>
      <w:r>
        <w:rPr>
          <w:rFonts w:ascii="Times New Roman" w:hAnsi="Times New Roman"/>
        </w:rPr>
        <w:t>GeneRIFs</w:t>
      </w:r>
      <w:proofErr w:type="spellEnd"/>
      <w:r>
        <w:rPr>
          <w:rFonts w:ascii="Times New Roman" w:hAnsi="Times New Roman"/>
        </w:rPr>
        <w:t xml:space="preserve"> with new line characters (‘\n’) and replace single or double quotes with white space.</w:t>
      </w:r>
    </w:p>
    <w:p w:rsidR="00755010" w:rsidRDefault="00755010" w:rsidP="00755010">
      <w:pPr>
        <w:numPr>
          <w:ilvl w:val="0"/>
          <w:numId w:val="5"/>
        </w:numPr>
        <w:spacing w:line="276" w:lineRule="auto"/>
        <w:ind w:hanging="360"/>
      </w:pPr>
      <w:r>
        <w:rPr>
          <w:rFonts w:ascii="Times New Roman" w:hAnsi="Times New Roman"/>
        </w:rPr>
        <w:t xml:space="preserve">Many </w:t>
      </w:r>
      <w:proofErr w:type="spellStart"/>
      <w:r>
        <w:rPr>
          <w:rFonts w:ascii="Times New Roman" w:hAnsi="Times New Roman"/>
        </w:rPr>
        <w:t>GeneIDs</w:t>
      </w:r>
      <w:proofErr w:type="spellEnd"/>
      <w:r>
        <w:rPr>
          <w:rFonts w:ascii="Times New Roman" w:hAnsi="Times New Roman"/>
        </w:rPr>
        <w:t xml:space="preserve"> have multiple </w:t>
      </w:r>
      <w:proofErr w:type="spellStart"/>
      <w:r>
        <w:rPr>
          <w:rFonts w:ascii="Times New Roman" w:hAnsi="Times New Roman"/>
        </w:rPr>
        <w:t>GeneRIF</w:t>
      </w:r>
      <w:proofErr w:type="spellEnd"/>
      <w:r>
        <w:rPr>
          <w:rFonts w:ascii="Times New Roman" w:hAnsi="Times New Roman"/>
        </w:rPr>
        <w:t xml:space="preserve"> entries. The user will find more efficient annotation if all of the </w:t>
      </w:r>
      <w:proofErr w:type="spellStart"/>
      <w:r>
        <w:rPr>
          <w:rFonts w:ascii="Times New Roman" w:hAnsi="Times New Roman"/>
        </w:rPr>
        <w:t>GeneRIF</w:t>
      </w:r>
      <w:proofErr w:type="spellEnd"/>
      <w:r>
        <w:rPr>
          <w:rFonts w:ascii="Times New Roman" w:hAnsi="Times New Roman"/>
        </w:rPr>
        <w:t xml:space="preserve"> entries for a given gene are concatenated and passed to the annotator instead of annotating individual </w:t>
      </w:r>
      <w:proofErr w:type="spellStart"/>
      <w:r>
        <w:rPr>
          <w:rFonts w:ascii="Times New Roman" w:hAnsi="Times New Roman"/>
        </w:rPr>
        <w:t>GeneRIF</w:t>
      </w:r>
      <w:proofErr w:type="spellEnd"/>
      <w:r>
        <w:rPr>
          <w:rFonts w:ascii="Times New Roman" w:hAnsi="Times New Roman"/>
        </w:rPr>
        <w:t xml:space="preserve"> entries for the same gene.</w:t>
      </w:r>
    </w:p>
    <w:p w:rsidR="00755010" w:rsidRDefault="00755010" w:rsidP="00755010">
      <w:pPr>
        <w:numPr>
          <w:ilvl w:val="0"/>
          <w:numId w:val="5"/>
        </w:numPr>
        <w:spacing w:line="276" w:lineRule="auto"/>
        <w:ind w:hanging="360"/>
      </w:pPr>
      <w:r>
        <w:rPr>
          <w:rFonts w:ascii="Times New Roman" w:hAnsi="Times New Roman"/>
        </w:rPr>
        <w:t xml:space="preserve">Due to the large number of </w:t>
      </w:r>
      <w:proofErr w:type="spellStart"/>
      <w:r>
        <w:rPr>
          <w:rFonts w:ascii="Times New Roman" w:hAnsi="Times New Roman"/>
        </w:rPr>
        <w:t>GeneRIFs</w:t>
      </w:r>
      <w:proofErr w:type="spellEnd"/>
      <w:r>
        <w:rPr>
          <w:rFonts w:ascii="Times New Roman" w:hAnsi="Times New Roman"/>
        </w:rPr>
        <w:t xml:space="preserve">, the </w:t>
      </w:r>
      <w:proofErr w:type="spellStart"/>
      <w:r>
        <w:rPr>
          <w:rFonts w:ascii="Times New Roman" w:hAnsi="Times New Roman"/>
        </w:rPr>
        <w:t>BioPortal</w:t>
      </w:r>
      <w:proofErr w:type="spellEnd"/>
      <w:r>
        <w:rPr>
          <w:rFonts w:ascii="Times New Roman" w:hAnsi="Times New Roman"/>
        </w:rPr>
        <w:t xml:space="preserve"> Annotator may timeout while the user is looping through genes to annotate. It is suggested that the annotation is done incrementally and joined or intermittent saves of the annotations is done to prevent timely re-annotation.</w:t>
      </w:r>
    </w:p>
    <w:p w:rsidR="00755010" w:rsidRDefault="00755010" w:rsidP="00755010">
      <w:pPr>
        <w:numPr>
          <w:ilvl w:val="0"/>
          <w:numId w:val="5"/>
        </w:numPr>
        <w:spacing w:line="276" w:lineRule="auto"/>
        <w:ind w:hanging="360"/>
      </w:pPr>
      <w:r>
        <w:rPr>
          <w:rFonts w:ascii="Times New Roman" w:hAnsi="Times New Roman"/>
        </w:rPr>
        <w:t xml:space="preserve">The given set of aging genes will have considerably more annotations terms per gene than the set of all genes in the </w:t>
      </w:r>
      <w:proofErr w:type="spellStart"/>
      <w:r>
        <w:rPr>
          <w:rFonts w:ascii="Times New Roman" w:hAnsi="Times New Roman"/>
        </w:rPr>
        <w:t>GeneRIF</w:t>
      </w:r>
      <w:proofErr w:type="spellEnd"/>
      <w:r>
        <w:rPr>
          <w:rFonts w:ascii="Times New Roman" w:hAnsi="Times New Roman"/>
        </w:rPr>
        <w:t xml:space="preserve"> database. This bias should be a consideration when deciding on an appropriate </w:t>
      </w:r>
      <w:r>
        <w:rPr>
          <w:rFonts w:ascii="Times New Roman" w:hAnsi="Times New Roman"/>
          <w:i/>
        </w:rPr>
        <w:t>M</w:t>
      </w:r>
      <w:r>
        <w:rPr>
          <w:rFonts w:ascii="Times New Roman" w:hAnsi="Times New Roman"/>
        </w:rPr>
        <w:t xml:space="preserve">. There are numerous approaches to address this, and a simple method may be to limit the reference set of genes </w:t>
      </w:r>
      <w:r>
        <w:rPr>
          <w:rFonts w:ascii="Times New Roman" w:hAnsi="Times New Roman"/>
          <w:i/>
        </w:rPr>
        <w:t>M</w:t>
      </w:r>
      <w:r>
        <w:rPr>
          <w:rFonts w:ascii="Times New Roman" w:hAnsi="Times New Roman"/>
        </w:rPr>
        <w:t xml:space="preserve"> to only those with at least a given number of annotated terms. You may also want to limit the results to only those terms that appear at least a given amount of times in the aging gene annotations.</w:t>
      </w:r>
    </w:p>
    <w:p w:rsidR="00E03AE0" w:rsidRPr="00960AF7" w:rsidRDefault="00E03AE0" w:rsidP="00E03AE0">
      <w:pPr>
        <w:rPr>
          <w:rFonts w:ascii="Times New Roman" w:hAnsi="Times New Roman"/>
        </w:rPr>
      </w:pPr>
    </w:p>
    <w:p w:rsidR="00E03AE0" w:rsidRPr="009570F4" w:rsidRDefault="00E03AE0" w:rsidP="00E03AE0">
      <w:pPr>
        <w:rPr>
          <w:rFonts w:ascii="Times New Roman" w:hAnsi="Times New Roman"/>
        </w:rPr>
      </w:pPr>
      <w:r w:rsidRPr="00960AF7">
        <w:rPr>
          <w:rFonts w:ascii="Times New Roman" w:hAnsi="Times New Roman"/>
          <w:b/>
        </w:rPr>
        <w:t>Answer:</w:t>
      </w:r>
      <w:r w:rsidRPr="00960AF7">
        <w:rPr>
          <w:rFonts w:ascii="Times New Roman" w:hAnsi="Times New Roman"/>
        </w:rPr>
        <w:t xml:space="preserve"> </w:t>
      </w:r>
      <w:r w:rsidRPr="00960AF7">
        <w:rPr>
          <w:rFonts w:ascii="Times New Roman" w:hAnsi="Times New Roman"/>
          <w:i/>
        </w:rPr>
        <w:t xml:space="preserve">This is an open ended question and does not have a fixed answer. Depending on the date on which </w:t>
      </w:r>
      <w:proofErr w:type="spellStart"/>
      <w:r w:rsidRPr="00960AF7">
        <w:rPr>
          <w:rFonts w:ascii="Times New Roman" w:hAnsi="Times New Roman"/>
          <w:i/>
        </w:rPr>
        <w:t>GeneRIFs</w:t>
      </w:r>
      <w:proofErr w:type="spellEnd"/>
      <w:r w:rsidRPr="00960AF7">
        <w:rPr>
          <w:rFonts w:ascii="Times New Roman" w:hAnsi="Times New Roman"/>
          <w:i/>
        </w:rPr>
        <w:t xml:space="preserve"> are annotated using a specific version of SNOMEDCT, the background set generated will differ. The answer set provided in </w:t>
      </w:r>
      <w:r w:rsidR="00A674A3">
        <w:rPr>
          <w:rFonts w:ascii="Times New Roman" w:hAnsi="Times New Roman"/>
          <w:i/>
        </w:rPr>
        <w:t>Table S2</w:t>
      </w:r>
      <w:r w:rsidRPr="00960AF7">
        <w:rPr>
          <w:rFonts w:ascii="Times New Roman" w:hAnsi="Times New Roman"/>
          <w:i/>
        </w:rPr>
        <w:t xml:space="preserve"> are from </w:t>
      </w:r>
      <w:r w:rsidR="00960AF7" w:rsidRPr="00960AF7">
        <w:rPr>
          <w:rFonts w:ascii="Times New Roman" w:hAnsi="Times New Roman"/>
          <w:i/>
        </w:rPr>
        <w:t xml:space="preserve">10/20/2012 </w:t>
      </w:r>
      <w:r w:rsidRPr="00960AF7">
        <w:rPr>
          <w:rFonts w:ascii="Times New Roman" w:hAnsi="Times New Roman"/>
          <w:i/>
        </w:rPr>
        <w:t xml:space="preserve">done using SNOMEDCT </w:t>
      </w:r>
      <w:r w:rsidR="00960AF7" w:rsidRPr="00960AF7">
        <w:rPr>
          <w:rFonts w:ascii="Times New Roman" w:hAnsi="Times New Roman"/>
          <w:i/>
        </w:rPr>
        <w:t>version 2011_07_31</w:t>
      </w:r>
      <w:r w:rsidRPr="00960AF7">
        <w:rPr>
          <w:rFonts w:ascii="Times New Roman" w:hAnsi="Times New Roman"/>
          <w:i/>
        </w:rPr>
        <w:t>.</w:t>
      </w:r>
    </w:p>
    <w:p w:rsidR="004218E4" w:rsidRDefault="004218E4"/>
    <w:sectPr w:rsidR="00421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7E4E"/>
    <w:multiLevelType w:val="multilevel"/>
    <w:tmpl w:val="8EDC104E"/>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abstractNum w:abstractNumId="1">
    <w:nsid w:val="1DF743A1"/>
    <w:multiLevelType w:val="hybridMultilevel"/>
    <w:tmpl w:val="B070283E"/>
    <w:lvl w:ilvl="0" w:tplc="6BCCD8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F7D2E"/>
    <w:multiLevelType w:val="hybridMultilevel"/>
    <w:tmpl w:val="B99AC99E"/>
    <w:lvl w:ilvl="0" w:tplc="91CA948E">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7CD7EC2"/>
    <w:multiLevelType w:val="hybridMultilevel"/>
    <w:tmpl w:val="829C15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0BE2B44"/>
    <w:multiLevelType w:val="multilevel"/>
    <w:tmpl w:val="39C81530"/>
    <w:lvl w:ilvl="0">
      <w:start w:val="1"/>
      <w:numFmt w:val="bullet"/>
      <w:lvlText w:val="●"/>
      <w:lvlJc w:val="left"/>
      <w:pPr>
        <w:ind w:left="720" w:firstLine="360"/>
      </w:pPr>
      <w:rPr>
        <w:rFonts w:ascii="Times New Roman" w:eastAsia="Times New Roman" w:hAnsi="Times New Roman" w:cs="Times New Roman"/>
        <w:b w:val="0"/>
        <w:i w:val="0"/>
        <w:smallCaps w:val="0"/>
        <w:strike w:val="0"/>
        <w:color w:val="000000"/>
        <w:sz w:val="22"/>
        <w:highlight w:val="none"/>
        <w:u w:val="none"/>
        <w:vertAlign w:val="baseline"/>
      </w:rPr>
    </w:lvl>
    <w:lvl w:ilvl="1">
      <w:start w:val="1"/>
      <w:numFmt w:val="bullet"/>
      <w:lvlText w:val="○"/>
      <w:lvlJc w:val="left"/>
      <w:pPr>
        <w:ind w:left="1440" w:firstLine="1080"/>
      </w:pPr>
      <w:rPr>
        <w:rFonts w:ascii="Times New Roman" w:eastAsia="Times New Roman" w:hAnsi="Times New Roman" w:cs="Times New Roman"/>
        <w:b w:val="0"/>
        <w:i w:val="0"/>
        <w:smallCaps w:val="0"/>
        <w:strike w:val="0"/>
        <w:color w:val="000000"/>
        <w:sz w:val="22"/>
        <w:highlight w:val="none"/>
        <w:u w:val="none"/>
        <w:vertAlign w:val="baseline"/>
      </w:rPr>
    </w:lvl>
    <w:lvl w:ilvl="2">
      <w:start w:val="1"/>
      <w:numFmt w:val="bullet"/>
      <w:lvlText w:val="■"/>
      <w:lvlJc w:val="left"/>
      <w:pPr>
        <w:ind w:left="2160" w:firstLine="1800"/>
      </w:pPr>
      <w:rPr>
        <w:rFonts w:ascii="Times New Roman" w:eastAsia="Times New Roman" w:hAnsi="Times New Roman" w:cs="Times New Roman"/>
        <w:b w:val="0"/>
        <w:i w:val="0"/>
        <w:smallCaps w:val="0"/>
        <w:strike w:val="0"/>
        <w:color w:val="000000"/>
        <w:sz w:val="22"/>
        <w:highlight w:val="none"/>
        <w:u w:val="none"/>
        <w:vertAlign w:val="baseline"/>
      </w:rPr>
    </w:lvl>
    <w:lvl w:ilvl="3">
      <w:start w:val="1"/>
      <w:numFmt w:val="bullet"/>
      <w:lvlText w:val="●"/>
      <w:lvlJc w:val="left"/>
      <w:pPr>
        <w:ind w:left="2880" w:firstLine="2520"/>
      </w:pPr>
      <w:rPr>
        <w:rFonts w:ascii="Times New Roman" w:eastAsia="Times New Roman" w:hAnsi="Times New Roman" w:cs="Times New Roman"/>
        <w:b w:val="0"/>
        <w:i w:val="0"/>
        <w:smallCaps w:val="0"/>
        <w:strike w:val="0"/>
        <w:color w:val="000000"/>
        <w:sz w:val="22"/>
        <w:highlight w:val="none"/>
        <w:u w:val="none"/>
        <w:vertAlign w:val="baseline"/>
      </w:rPr>
    </w:lvl>
    <w:lvl w:ilvl="4">
      <w:start w:val="1"/>
      <w:numFmt w:val="bullet"/>
      <w:lvlText w:val="○"/>
      <w:lvlJc w:val="left"/>
      <w:pPr>
        <w:ind w:left="3600" w:firstLine="3240"/>
      </w:pPr>
      <w:rPr>
        <w:rFonts w:ascii="Times New Roman" w:eastAsia="Times New Roman" w:hAnsi="Times New Roman" w:cs="Times New Roman"/>
        <w:b w:val="0"/>
        <w:i w:val="0"/>
        <w:smallCaps w:val="0"/>
        <w:strike w:val="0"/>
        <w:color w:val="000000"/>
        <w:sz w:val="22"/>
        <w:highlight w:val="none"/>
        <w:u w:val="none"/>
        <w:vertAlign w:val="baseline"/>
      </w:rPr>
    </w:lvl>
    <w:lvl w:ilvl="5">
      <w:start w:val="1"/>
      <w:numFmt w:val="bullet"/>
      <w:lvlText w:val="■"/>
      <w:lvlJc w:val="left"/>
      <w:pPr>
        <w:ind w:left="4320" w:firstLine="3960"/>
      </w:pPr>
      <w:rPr>
        <w:rFonts w:ascii="Times New Roman" w:eastAsia="Times New Roman" w:hAnsi="Times New Roman" w:cs="Times New Roman"/>
        <w:b w:val="0"/>
        <w:i w:val="0"/>
        <w:smallCaps w:val="0"/>
        <w:strike w:val="0"/>
        <w:color w:val="000000"/>
        <w:sz w:val="22"/>
        <w:highlight w:val="none"/>
        <w:u w:val="none"/>
        <w:vertAlign w:val="baseline"/>
      </w:rPr>
    </w:lvl>
    <w:lvl w:ilvl="6">
      <w:start w:val="1"/>
      <w:numFmt w:val="bullet"/>
      <w:lvlText w:val="●"/>
      <w:lvlJc w:val="left"/>
      <w:pPr>
        <w:ind w:left="5040" w:firstLine="4680"/>
      </w:pPr>
      <w:rPr>
        <w:rFonts w:ascii="Times New Roman" w:eastAsia="Times New Roman" w:hAnsi="Times New Roman" w:cs="Times New Roman"/>
        <w:b w:val="0"/>
        <w:i w:val="0"/>
        <w:smallCaps w:val="0"/>
        <w:strike w:val="0"/>
        <w:color w:val="000000"/>
        <w:sz w:val="22"/>
        <w:highlight w:val="none"/>
        <w:u w:val="none"/>
        <w:vertAlign w:val="baseline"/>
      </w:rPr>
    </w:lvl>
    <w:lvl w:ilvl="7">
      <w:start w:val="1"/>
      <w:numFmt w:val="bullet"/>
      <w:lvlText w:val="○"/>
      <w:lvlJc w:val="left"/>
      <w:pPr>
        <w:ind w:left="5760" w:firstLine="5400"/>
      </w:pPr>
      <w:rPr>
        <w:rFonts w:ascii="Times New Roman" w:eastAsia="Times New Roman" w:hAnsi="Times New Roman" w:cs="Times New Roman"/>
        <w:b w:val="0"/>
        <w:i w:val="0"/>
        <w:smallCaps w:val="0"/>
        <w:strike w:val="0"/>
        <w:color w:val="000000"/>
        <w:sz w:val="22"/>
        <w:highlight w:val="none"/>
        <w:u w:val="none"/>
        <w:vertAlign w:val="baseline"/>
      </w:rPr>
    </w:lvl>
    <w:lvl w:ilvl="8">
      <w:start w:val="1"/>
      <w:numFmt w:val="bullet"/>
      <w:lvlText w:val="■"/>
      <w:lvlJc w:val="left"/>
      <w:pPr>
        <w:ind w:left="6480" w:firstLine="6120"/>
      </w:pPr>
      <w:rPr>
        <w:rFonts w:ascii="Times New Roman" w:eastAsia="Times New Roman" w:hAnsi="Times New Roman" w:cs="Times New Roman"/>
        <w:b w:val="0"/>
        <w:i w:val="0"/>
        <w:smallCaps w:val="0"/>
        <w:strike w:val="0"/>
        <w:color w:val="000000"/>
        <w:sz w:val="22"/>
        <w:highlight w:val="none"/>
        <w:u w:val="none"/>
        <w:vertAlign w:val="baseli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E0"/>
    <w:rsid w:val="000C1844"/>
    <w:rsid w:val="00216917"/>
    <w:rsid w:val="004218E4"/>
    <w:rsid w:val="005872F1"/>
    <w:rsid w:val="006750B6"/>
    <w:rsid w:val="00755010"/>
    <w:rsid w:val="00932C09"/>
    <w:rsid w:val="00960AF7"/>
    <w:rsid w:val="00A304C8"/>
    <w:rsid w:val="00A674A3"/>
    <w:rsid w:val="00E03AE0"/>
    <w:rsid w:val="00E5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E0"/>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E03AE0"/>
    <w:pPr>
      <w:keepNext/>
      <w:spacing w:before="180"/>
      <w:ind w:left="432" w:hanging="432"/>
      <w:outlineLvl w:val="0"/>
    </w:pPr>
    <w:rPr>
      <w:rFonts w:ascii="Palatino Linotype" w:eastAsiaTheme="majorEastAsia" w:hAnsi="Palatino Linotype" w:cstheme="majorBidi"/>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AE0"/>
    <w:rPr>
      <w:rFonts w:ascii="Palatino Linotype" w:eastAsiaTheme="majorEastAsia" w:hAnsi="Palatino Linotype" w:cstheme="majorBidi"/>
      <w:b/>
      <w:kern w:val="32"/>
      <w:sz w:val="32"/>
      <w:szCs w:val="32"/>
      <w:lang w:val="en-US"/>
    </w:rPr>
  </w:style>
  <w:style w:type="paragraph" w:styleId="ListParagraph">
    <w:name w:val="List Paragraph"/>
    <w:basedOn w:val="Normal"/>
    <w:uiPriority w:val="34"/>
    <w:qFormat/>
    <w:rsid w:val="00E03A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E0"/>
    <w:pPr>
      <w:spacing w:after="0" w:line="240" w:lineRule="auto"/>
    </w:pPr>
    <w:rPr>
      <w:rFonts w:ascii="Arial" w:eastAsia="Times New Roman" w:hAnsi="Arial" w:cs="Times New Roman"/>
      <w:szCs w:val="24"/>
      <w:lang w:val="en-US"/>
    </w:rPr>
  </w:style>
  <w:style w:type="paragraph" w:styleId="Heading1">
    <w:name w:val="heading 1"/>
    <w:basedOn w:val="Normal"/>
    <w:next w:val="Normal"/>
    <w:link w:val="Heading1Char"/>
    <w:qFormat/>
    <w:rsid w:val="00E03AE0"/>
    <w:pPr>
      <w:keepNext/>
      <w:spacing w:before="180"/>
      <w:ind w:left="432" w:hanging="432"/>
      <w:outlineLvl w:val="0"/>
    </w:pPr>
    <w:rPr>
      <w:rFonts w:ascii="Palatino Linotype" w:eastAsiaTheme="majorEastAsia" w:hAnsi="Palatino Linotype" w:cstheme="majorBidi"/>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AE0"/>
    <w:rPr>
      <w:rFonts w:ascii="Palatino Linotype" w:eastAsiaTheme="majorEastAsia" w:hAnsi="Palatino Linotype" w:cstheme="majorBidi"/>
      <w:b/>
      <w:kern w:val="32"/>
      <w:sz w:val="32"/>
      <w:szCs w:val="32"/>
      <w:lang w:val="en-US"/>
    </w:rPr>
  </w:style>
  <w:style w:type="paragraph" w:styleId="ListParagraph">
    <w:name w:val="List Paragraph"/>
    <w:basedOn w:val="Normal"/>
    <w:uiPriority w:val="34"/>
    <w:qFormat/>
    <w:rsid w:val="00E03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29205">
      <w:bodyDiv w:val="1"/>
      <w:marLeft w:val="0"/>
      <w:marRight w:val="0"/>
      <w:marTop w:val="0"/>
      <w:marBottom w:val="0"/>
      <w:divBdr>
        <w:top w:val="none" w:sz="0" w:space="0" w:color="auto"/>
        <w:left w:val="none" w:sz="0" w:space="0" w:color="auto"/>
        <w:bottom w:val="none" w:sz="0" w:space="0" w:color="auto"/>
        <w:right w:val="none" w:sz="0" w:space="0" w:color="auto"/>
      </w:divBdr>
    </w:div>
    <w:div w:id="13255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portal.bioontolog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niprot.org/help/mapp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tp://ftp.ncbi.nih.gov/gene/GeneRIF/" TargetMode="External"/><Relationship Id="rId11" Type="http://schemas.openxmlformats.org/officeDocument/2006/relationships/hyperlink" Target="http://bioportal.bioontology.org/annotator" TargetMode="External"/><Relationship Id="rId5" Type="http://schemas.openxmlformats.org/officeDocument/2006/relationships/webSettings" Target="webSettings.xml"/><Relationship Id="rId10" Type="http://schemas.openxmlformats.org/officeDocument/2006/relationships/hyperlink" Target="http://www.bioontology.org/wiki/index.php/Annotator_Client_Examples" TargetMode="External"/><Relationship Id="rId4" Type="http://schemas.openxmlformats.org/officeDocument/2006/relationships/settings" Target="settings.xml"/><Relationship Id="rId9" Type="http://schemas.openxmlformats.org/officeDocument/2006/relationships/hyperlink" Target="http://www.bioontology.org/wiki/index.php/Annotator_Web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Clare Weaver</cp:lastModifiedBy>
  <cp:revision>2</cp:revision>
  <dcterms:created xsi:type="dcterms:W3CDTF">2012-11-23T10:14:00Z</dcterms:created>
  <dcterms:modified xsi:type="dcterms:W3CDTF">2012-11-23T10:14:00Z</dcterms:modified>
</cp:coreProperties>
</file>