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E4" w:rsidRPr="00342BC7" w:rsidRDefault="00C20BE4" w:rsidP="00C20BE4">
      <w:pPr>
        <w:pStyle w:val="Heading1"/>
      </w:pPr>
      <w:proofErr w:type="spellStart"/>
      <w:r w:rsidRPr="00342BC7">
        <w:t>Metallochaperones</w:t>
      </w:r>
      <w:proofErr w:type="spellEnd"/>
      <w:r w:rsidRPr="00342BC7">
        <w:t xml:space="preserve"> regulate intracellular C</w:t>
      </w:r>
      <w:r w:rsidR="007B0581">
        <w:t>opper</w:t>
      </w:r>
      <w:r w:rsidRPr="00342BC7">
        <w:t xml:space="preserve"> levels</w:t>
      </w:r>
    </w:p>
    <w:p w:rsidR="00C20BE4" w:rsidRDefault="00C20BE4" w:rsidP="00C20BE4">
      <w:pPr>
        <w:pStyle w:val="NormalNoIndent"/>
      </w:pPr>
      <w:r w:rsidRPr="009259B6">
        <w:t xml:space="preserve">W. Lee </w:t>
      </w:r>
      <w:proofErr w:type="spellStart"/>
      <w:r w:rsidRPr="009259B6">
        <w:t>Pang</w:t>
      </w:r>
      <w:r w:rsidRPr="008058C0">
        <w:rPr>
          <w:vertAlign w:val="superscript"/>
        </w:rPr>
        <w:t>1</w:t>
      </w:r>
      <w:r>
        <w:rPr>
          <w:vertAlign w:val="superscript"/>
        </w:rPr>
        <w:t>,7</w:t>
      </w:r>
      <w:proofErr w:type="spellEnd"/>
      <w:r w:rsidRPr="009259B6">
        <w:t xml:space="preserve">, </w:t>
      </w:r>
      <w:proofErr w:type="spellStart"/>
      <w:r w:rsidRPr="009259B6">
        <w:t>Amardeep</w:t>
      </w:r>
      <w:proofErr w:type="spellEnd"/>
      <w:r w:rsidRPr="009259B6">
        <w:t xml:space="preserve"> </w:t>
      </w:r>
      <w:proofErr w:type="spellStart"/>
      <w:r w:rsidRPr="009259B6">
        <w:t>Kaur</w:t>
      </w:r>
      <w:r w:rsidRPr="008058C0">
        <w:rPr>
          <w:vertAlign w:val="superscript"/>
        </w:rPr>
        <w:t>1</w:t>
      </w:r>
      <w:proofErr w:type="spellEnd"/>
      <w:r w:rsidRPr="009259B6">
        <w:t xml:space="preserve">, </w:t>
      </w:r>
      <w:r>
        <w:t xml:space="preserve">Alexander V. </w:t>
      </w:r>
      <w:proofErr w:type="spellStart"/>
      <w:r>
        <w:t>Ratushny</w:t>
      </w:r>
      <w:r w:rsidRPr="00003EF1">
        <w:rPr>
          <w:vertAlign w:val="superscript"/>
        </w:rPr>
        <w:t>1</w:t>
      </w:r>
      <w:r>
        <w:rPr>
          <w:vertAlign w:val="superscript"/>
        </w:rPr>
        <w:t>,2</w:t>
      </w:r>
      <w:proofErr w:type="spellEnd"/>
      <w:r>
        <w:t xml:space="preserve">, </w:t>
      </w:r>
      <w:proofErr w:type="spellStart"/>
      <w:r w:rsidRPr="009259B6">
        <w:t>Aleksand</w:t>
      </w:r>
      <w:r>
        <w:t>a</w:t>
      </w:r>
      <w:r w:rsidRPr="009259B6">
        <w:t>r</w:t>
      </w:r>
      <w:proofErr w:type="spellEnd"/>
      <w:r w:rsidRPr="009259B6">
        <w:t xml:space="preserve"> </w:t>
      </w:r>
      <w:proofErr w:type="spellStart"/>
      <w:r w:rsidRPr="009259B6">
        <w:t>Cvetkovic</w:t>
      </w:r>
      <w:r>
        <w:rPr>
          <w:vertAlign w:val="superscript"/>
        </w:rPr>
        <w:t>3</w:t>
      </w:r>
      <w:r w:rsidRPr="008058C0">
        <w:rPr>
          <w:vertAlign w:val="superscript"/>
        </w:rPr>
        <w:t>,</w:t>
      </w:r>
      <w:r>
        <w:rPr>
          <w:vertAlign w:val="superscript"/>
        </w:rPr>
        <w:t>6</w:t>
      </w:r>
      <w:proofErr w:type="spellEnd"/>
      <w:r w:rsidRPr="009259B6">
        <w:t xml:space="preserve">, Sunil </w:t>
      </w:r>
      <w:proofErr w:type="spellStart"/>
      <w:r w:rsidRPr="009259B6">
        <w:t>Kumar</w:t>
      </w:r>
      <w:r>
        <w:rPr>
          <w:vertAlign w:val="superscript"/>
        </w:rPr>
        <w:t>3</w:t>
      </w:r>
      <w:proofErr w:type="spellEnd"/>
      <w:r w:rsidRPr="009259B6">
        <w:t xml:space="preserve">, Min </w:t>
      </w:r>
      <w:proofErr w:type="spellStart"/>
      <w:r w:rsidRPr="009259B6">
        <w:t>Pan</w:t>
      </w:r>
      <w:r w:rsidRPr="008058C0">
        <w:rPr>
          <w:vertAlign w:val="superscript"/>
        </w:rPr>
        <w:t>1</w:t>
      </w:r>
      <w:proofErr w:type="spellEnd"/>
      <w:r w:rsidRPr="009259B6">
        <w:t xml:space="preserve">, </w:t>
      </w:r>
      <w:r>
        <w:t xml:space="preserve">Adam P. </w:t>
      </w:r>
      <w:proofErr w:type="spellStart"/>
      <w:r>
        <w:t>Arkin</w:t>
      </w:r>
      <w:r>
        <w:rPr>
          <w:vertAlign w:val="superscript"/>
        </w:rPr>
        <w:t>4</w:t>
      </w:r>
      <w:proofErr w:type="spellEnd"/>
      <w:r>
        <w:t xml:space="preserve">, John D. </w:t>
      </w:r>
      <w:proofErr w:type="spellStart"/>
      <w:r>
        <w:t>Aitchison</w:t>
      </w:r>
      <w:r w:rsidRPr="00003EF1">
        <w:rPr>
          <w:vertAlign w:val="superscript"/>
        </w:rPr>
        <w:t>1</w:t>
      </w:r>
      <w:r>
        <w:rPr>
          <w:vertAlign w:val="superscript"/>
        </w:rPr>
        <w:t>,2</w:t>
      </w:r>
      <w:proofErr w:type="spellEnd"/>
      <w:r>
        <w:t xml:space="preserve">, </w:t>
      </w:r>
      <w:r w:rsidRPr="009259B6">
        <w:t xml:space="preserve">Michael W. W. </w:t>
      </w:r>
      <w:proofErr w:type="spellStart"/>
      <w:r w:rsidRPr="009259B6">
        <w:t>Adams</w:t>
      </w:r>
      <w:r>
        <w:rPr>
          <w:vertAlign w:val="superscript"/>
        </w:rPr>
        <w:t>3</w:t>
      </w:r>
      <w:proofErr w:type="spellEnd"/>
      <w:r w:rsidRPr="009259B6">
        <w:t xml:space="preserve">, and </w:t>
      </w:r>
      <w:proofErr w:type="spellStart"/>
      <w:r w:rsidRPr="009259B6">
        <w:t>Nitin</w:t>
      </w:r>
      <w:proofErr w:type="spellEnd"/>
      <w:r w:rsidRPr="009259B6">
        <w:t xml:space="preserve"> S. </w:t>
      </w:r>
      <w:proofErr w:type="spellStart"/>
      <w:r w:rsidRPr="009259B6">
        <w:t>Baliga</w:t>
      </w:r>
      <w:r>
        <w:rPr>
          <w:vertAlign w:val="superscript"/>
        </w:rPr>
        <w:t>1,5</w:t>
      </w:r>
      <w:proofErr w:type="spellEnd"/>
      <w:r w:rsidRPr="008058C0">
        <w:rPr>
          <w:vertAlign w:val="superscript"/>
        </w:rPr>
        <w:t>,*</w:t>
      </w:r>
    </w:p>
    <w:p w:rsidR="00C20BE4" w:rsidRDefault="00C20BE4" w:rsidP="00C20BE4">
      <w:pPr>
        <w:pStyle w:val="NormalNoIndent"/>
      </w:pPr>
    </w:p>
    <w:p w:rsidR="00C20BE4" w:rsidRDefault="00C20BE4" w:rsidP="00D91069">
      <w:pPr>
        <w:numPr>
          <w:ilvl w:val="0"/>
          <w:numId w:val="1"/>
        </w:numPr>
        <w:spacing w:line="360" w:lineRule="auto"/>
      </w:pPr>
      <w:r w:rsidRPr="00E17EF7">
        <w:t>Institute for Systems Biology, Seattle, WA</w:t>
      </w:r>
    </w:p>
    <w:p w:rsidR="00C20BE4" w:rsidRDefault="00C20BE4" w:rsidP="00D91069">
      <w:pPr>
        <w:numPr>
          <w:ilvl w:val="0"/>
          <w:numId w:val="1"/>
        </w:numPr>
        <w:spacing w:line="360" w:lineRule="auto"/>
      </w:pPr>
      <w:r>
        <w:t>Seattle Biomedical Research Institute, Seattle, WA</w:t>
      </w:r>
    </w:p>
    <w:p w:rsidR="00C20BE4" w:rsidRDefault="00C20BE4" w:rsidP="00D91069">
      <w:pPr>
        <w:numPr>
          <w:ilvl w:val="0"/>
          <w:numId w:val="1"/>
        </w:numPr>
        <w:spacing w:line="360" w:lineRule="auto"/>
      </w:pPr>
      <w:r w:rsidRPr="00E17EF7">
        <w:t>Department of Biochemistry and Molecular Biology, University of Georgia, Athens, GA</w:t>
      </w:r>
    </w:p>
    <w:p w:rsidR="00C20BE4" w:rsidRDefault="00C20BE4" w:rsidP="00D91069">
      <w:pPr>
        <w:numPr>
          <w:ilvl w:val="0"/>
          <w:numId w:val="1"/>
        </w:numPr>
        <w:spacing w:line="360" w:lineRule="auto"/>
      </w:pPr>
      <w:r>
        <w:t>Department of Bioengineering, University of California, Berkeley, CA</w:t>
      </w:r>
    </w:p>
    <w:p w:rsidR="00C20BE4" w:rsidRDefault="00C20BE4" w:rsidP="00D91069">
      <w:pPr>
        <w:numPr>
          <w:ilvl w:val="0"/>
          <w:numId w:val="1"/>
        </w:numPr>
        <w:spacing w:line="360" w:lineRule="auto"/>
      </w:pPr>
      <w:r w:rsidRPr="00E17EF7">
        <w:t>Department of Microbiology, University of Washington, Seattle, WA</w:t>
      </w:r>
    </w:p>
    <w:p w:rsidR="00C20BE4" w:rsidRDefault="00C20BE4" w:rsidP="00D91069">
      <w:pPr>
        <w:numPr>
          <w:ilvl w:val="0"/>
          <w:numId w:val="1"/>
        </w:numPr>
        <w:spacing w:line="360" w:lineRule="auto"/>
      </w:pPr>
      <w:r w:rsidRPr="00E17EF7">
        <w:t>Currently: Pall Life Sciences</w:t>
      </w:r>
      <w:r w:rsidR="00A146EA">
        <w:t>, Boston, MA</w:t>
      </w:r>
      <w:bookmarkStart w:id="0" w:name="_GoBack"/>
      <w:bookmarkEnd w:id="0"/>
    </w:p>
    <w:p w:rsidR="00C20BE4" w:rsidRDefault="00C20BE4" w:rsidP="00D91069">
      <w:pPr>
        <w:numPr>
          <w:ilvl w:val="0"/>
          <w:numId w:val="1"/>
        </w:numPr>
        <w:spacing w:line="360" w:lineRule="auto"/>
      </w:pPr>
      <w:r>
        <w:t xml:space="preserve">Currently: </w:t>
      </w:r>
      <w:proofErr w:type="spellStart"/>
      <w:r>
        <w:t>Genomatica</w:t>
      </w:r>
      <w:proofErr w:type="spellEnd"/>
      <w:r>
        <w:t>, Inc., San Diego, CA</w:t>
      </w:r>
    </w:p>
    <w:p w:rsidR="00C20BE4" w:rsidRDefault="00C20BE4" w:rsidP="00D91069">
      <w:pPr>
        <w:pStyle w:val="NormalNoIndent"/>
        <w:spacing w:line="360" w:lineRule="auto"/>
      </w:pPr>
    </w:p>
    <w:p w:rsidR="00C20BE4" w:rsidRDefault="00C20BE4" w:rsidP="00D91069">
      <w:pPr>
        <w:pStyle w:val="NormalNoIndent"/>
        <w:spacing w:line="360" w:lineRule="auto"/>
      </w:pPr>
      <w:r>
        <w:t xml:space="preserve">To whom correspondence should be addressed: </w:t>
      </w:r>
      <w:proofErr w:type="spellStart"/>
      <w:r>
        <w:t>Nitin</w:t>
      </w:r>
      <w:proofErr w:type="spellEnd"/>
      <w:r>
        <w:t xml:space="preserve"> S. </w:t>
      </w:r>
      <w:proofErr w:type="spellStart"/>
      <w:r>
        <w:t>Baliga</w:t>
      </w:r>
      <w:proofErr w:type="spellEnd"/>
      <w:r>
        <w:t>, Institute for Systems Biology, 401 Terry Ave N., Seattle WA, 98109. Tel.: (206) 732-1266. Fax: (206) 732-1299. E-mail: Nitin.Baliga@systemsbiology.org.</w:t>
      </w:r>
    </w:p>
    <w:p w:rsidR="00ED0E22" w:rsidRPr="00342BC7" w:rsidRDefault="00ED0E22" w:rsidP="00C20BE4">
      <w:pPr>
        <w:pStyle w:val="Heading2"/>
      </w:pPr>
      <w:bookmarkStart w:id="1" w:name="_Toc316989327"/>
      <w:r w:rsidRPr="00342BC7">
        <w:t>Su</w:t>
      </w:r>
      <w:r w:rsidR="00E45FD9">
        <w:t xml:space="preserve">pplemental </w:t>
      </w:r>
      <w:r w:rsidR="00EC09B7">
        <w:t>Data</w:t>
      </w:r>
      <w:bookmarkEnd w:id="1"/>
    </w:p>
    <w:p w:rsidR="006A58C4" w:rsidRDefault="006A58C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\h \z \u \t "Heading 3,1" </w:instrText>
      </w:r>
      <w:r>
        <w:fldChar w:fldCharType="separate"/>
      </w:r>
      <w:hyperlink w:anchor="_Toc316989396" w:history="1">
        <w:r w:rsidRPr="00A4222A">
          <w:rPr>
            <w:rStyle w:val="Hyperlink"/>
            <w:noProof/>
          </w:rPr>
          <w:t>ICP-MS Control Samples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_Toc316989396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58C4" w:rsidRDefault="00A146E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316989397" w:history="1">
        <w:r w:rsidR="006A58C4" w:rsidRPr="00A4222A">
          <w:rPr>
            <w:rStyle w:val="Hyperlink"/>
            <w:noProof/>
          </w:rPr>
          <w:t>Metallochaperone deletion phenotypes</w:t>
        </w:r>
        <w:r w:rsidR="006A58C4">
          <w:rPr>
            <w:noProof/>
            <w:webHidden/>
          </w:rPr>
          <w:tab/>
        </w:r>
        <w:r w:rsidR="006A58C4">
          <w:rPr>
            <w:noProof/>
            <w:webHidden/>
          </w:rPr>
          <w:fldChar w:fldCharType="begin"/>
        </w:r>
        <w:r w:rsidR="006A58C4">
          <w:rPr>
            <w:noProof/>
            <w:webHidden/>
          </w:rPr>
          <w:instrText xml:space="preserve"> PAGEREF _Toc316989397 \h </w:instrText>
        </w:r>
        <w:r w:rsidR="006A58C4">
          <w:rPr>
            <w:noProof/>
            <w:webHidden/>
          </w:rPr>
        </w:r>
        <w:r w:rsidR="006A58C4">
          <w:rPr>
            <w:noProof/>
            <w:webHidden/>
          </w:rPr>
          <w:fldChar w:fldCharType="separate"/>
        </w:r>
        <w:r w:rsidR="006A58C4">
          <w:rPr>
            <w:noProof/>
            <w:webHidden/>
          </w:rPr>
          <w:t>1</w:t>
        </w:r>
        <w:r w:rsidR="006A58C4">
          <w:rPr>
            <w:noProof/>
            <w:webHidden/>
          </w:rPr>
          <w:fldChar w:fldCharType="end"/>
        </w:r>
      </w:hyperlink>
    </w:p>
    <w:p w:rsidR="006A58C4" w:rsidRDefault="00A146E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316989399" w:history="1">
        <w:r w:rsidR="006A58C4" w:rsidRPr="00A4222A">
          <w:rPr>
            <w:rStyle w:val="Hyperlink"/>
            <w:noProof/>
          </w:rPr>
          <w:t>Expression vector construction</w:t>
        </w:r>
        <w:r w:rsidR="006A58C4">
          <w:rPr>
            <w:noProof/>
            <w:webHidden/>
          </w:rPr>
          <w:tab/>
        </w:r>
        <w:r w:rsidR="006A58C4">
          <w:rPr>
            <w:noProof/>
            <w:webHidden/>
          </w:rPr>
          <w:fldChar w:fldCharType="begin"/>
        </w:r>
        <w:r w:rsidR="006A58C4">
          <w:rPr>
            <w:noProof/>
            <w:webHidden/>
          </w:rPr>
          <w:instrText xml:space="preserve"> PAGEREF _Toc316989399 \h </w:instrText>
        </w:r>
        <w:r w:rsidR="006A58C4">
          <w:rPr>
            <w:noProof/>
            <w:webHidden/>
          </w:rPr>
        </w:r>
        <w:r w:rsidR="006A58C4">
          <w:rPr>
            <w:noProof/>
            <w:webHidden/>
          </w:rPr>
          <w:fldChar w:fldCharType="separate"/>
        </w:r>
        <w:r w:rsidR="006A58C4">
          <w:rPr>
            <w:noProof/>
            <w:webHidden/>
          </w:rPr>
          <w:t>2</w:t>
        </w:r>
        <w:r w:rsidR="006A58C4">
          <w:rPr>
            <w:noProof/>
            <w:webHidden/>
          </w:rPr>
          <w:fldChar w:fldCharType="end"/>
        </w:r>
      </w:hyperlink>
    </w:p>
    <w:p w:rsidR="006A58C4" w:rsidRDefault="00A146E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316989400" w:history="1">
        <w:r w:rsidR="006A58C4" w:rsidRPr="00A4222A">
          <w:rPr>
            <w:rStyle w:val="Hyperlink"/>
            <w:noProof/>
          </w:rPr>
          <w:t>Quantitative PCR protocol</w:t>
        </w:r>
        <w:r w:rsidR="006A58C4">
          <w:rPr>
            <w:noProof/>
            <w:webHidden/>
          </w:rPr>
          <w:tab/>
        </w:r>
        <w:r w:rsidR="006A58C4">
          <w:rPr>
            <w:noProof/>
            <w:webHidden/>
          </w:rPr>
          <w:fldChar w:fldCharType="begin"/>
        </w:r>
        <w:r w:rsidR="006A58C4">
          <w:rPr>
            <w:noProof/>
            <w:webHidden/>
          </w:rPr>
          <w:instrText xml:space="preserve"> PAGEREF _Toc316989400 \h </w:instrText>
        </w:r>
        <w:r w:rsidR="006A58C4">
          <w:rPr>
            <w:noProof/>
            <w:webHidden/>
          </w:rPr>
        </w:r>
        <w:r w:rsidR="006A58C4">
          <w:rPr>
            <w:noProof/>
            <w:webHidden/>
          </w:rPr>
          <w:fldChar w:fldCharType="separate"/>
        </w:r>
        <w:r w:rsidR="006A58C4">
          <w:rPr>
            <w:noProof/>
            <w:webHidden/>
          </w:rPr>
          <w:t>2</w:t>
        </w:r>
        <w:r w:rsidR="006A58C4">
          <w:rPr>
            <w:noProof/>
            <w:webHidden/>
          </w:rPr>
          <w:fldChar w:fldCharType="end"/>
        </w:r>
      </w:hyperlink>
    </w:p>
    <w:p w:rsidR="006A58C4" w:rsidRDefault="00A146E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316989401" w:history="1">
        <w:r w:rsidR="006A58C4" w:rsidRPr="00A4222A">
          <w:rPr>
            <w:rStyle w:val="Hyperlink"/>
            <w:noProof/>
          </w:rPr>
          <w:t>References</w:t>
        </w:r>
        <w:r w:rsidR="006A58C4">
          <w:rPr>
            <w:noProof/>
            <w:webHidden/>
          </w:rPr>
          <w:tab/>
        </w:r>
        <w:r w:rsidR="006A58C4">
          <w:rPr>
            <w:noProof/>
            <w:webHidden/>
          </w:rPr>
          <w:fldChar w:fldCharType="begin"/>
        </w:r>
        <w:r w:rsidR="006A58C4">
          <w:rPr>
            <w:noProof/>
            <w:webHidden/>
          </w:rPr>
          <w:instrText xml:space="preserve"> PAGEREF _Toc316989401 \h </w:instrText>
        </w:r>
        <w:r w:rsidR="006A58C4">
          <w:rPr>
            <w:noProof/>
            <w:webHidden/>
          </w:rPr>
        </w:r>
        <w:r w:rsidR="006A58C4">
          <w:rPr>
            <w:noProof/>
            <w:webHidden/>
          </w:rPr>
          <w:fldChar w:fldCharType="separate"/>
        </w:r>
        <w:r w:rsidR="006A58C4">
          <w:rPr>
            <w:noProof/>
            <w:webHidden/>
          </w:rPr>
          <w:t>3</w:t>
        </w:r>
        <w:r w:rsidR="006A58C4">
          <w:rPr>
            <w:noProof/>
            <w:webHidden/>
          </w:rPr>
          <w:fldChar w:fldCharType="end"/>
        </w:r>
      </w:hyperlink>
    </w:p>
    <w:p w:rsidR="00ED0E22" w:rsidRDefault="006A58C4" w:rsidP="00C20BE4">
      <w:pPr>
        <w:ind w:firstLine="0"/>
      </w:pPr>
      <w:r>
        <w:fldChar w:fldCharType="end"/>
      </w:r>
    </w:p>
    <w:p w:rsidR="004E5C23" w:rsidRDefault="006A58C4" w:rsidP="006A58C4">
      <w:pPr>
        <w:pStyle w:val="Heading3"/>
      </w:pPr>
      <w:bookmarkStart w:id="2" w:name="_Toc316989328"/>
      <w:bookmarkStart w:id="3" w:name="_Toc316989396"/>
      <w:proofErr w:type="spellStart"/>
      <w:r>
        <w:t>ICP</w:t>
      </w:r>
      <w:proofErr w:type="spellEnd"/>
      <w:r>
        <w:t>-MS Control Samples</w:t>
      </w:r>
      <w:bookmarkEnd w:id="2"/>
      <w:bookmarkEnd w:id="3"/>
    </w:p>
    <w:tbl>
      <w:tblPr>
        <w:tblW w:w="0" w:type="auto"/>
        <w:tblInd w:w="20" w:type="dxa"/>
        <w:tblLook w:val="0000" w:firstRow="0" w:lastRow="0" w:firstColumn="0" w:lastColumn="0" w:noHBand="0" w:noVBand="0"/>
      </w:tblPr>
      <w:tblGrid>
        <w:gridCol w:w="4280"/>
        <w:gridCol w:w="1340"/>
        <w:gridCol w:w="1340"/>
        <w:gridCol w:w="1340"/>
      </w:tblGrid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r>
              <w:t>Description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pStyle w:val="StyleCenteredLinespacing15lines"/>
            </w:pPr>
            <w:r>
              <w:t>Average</w:t>
            </w:r>
          </w:p>
          <w:p w:rsidR="00EC09B7" w:rsidRDefault="00EC09B7" w:rsidP="00103503">
            <w:pPr>
              <w:pStyle w:val="StyleCenteredLinespacing15lines"/>
            </w:pPr>
            <w:r>
              <w:t>(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EC09B7">
            <w:pPr>
              <w:pStyle w:val="StyleCenteredLinespacing15lines"/>
            </w:pPr>
            <w:proofErr w:type="spellStart"/>
            <w:r>
              <w:t>Std</w:t>
            </w:r>
            <w:r w:rsidR="00EC09B7">
              <w:t>.</w:t>
            </w:r>
            <w:r>
              <w:t>Dev</w:t>
            </w:r>
            <w:proofErr w:type="spellEnd"/>
          </w:p>
          <w:p w:rsidR="00EC09B7" w:rsidRDefault="00EC09B7" w:rsidP="00EC09B7">
            <w:pPr>
              <w:pStyle w:val="StyleCenteredLinespacing15lines"/>
            </w:pPr>
            <w:r>
              <w:t>(</w:t>
            </w:r>
            <w:proofErr w:type="spellStart"/>
            <w:r>
              <w:t>uM</w:t>
            </w:r>
            <w:proofErr w:type="spellEnd"/>
            <w:r>
              <w:t>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pStyle w:val="StyleCenteredLinespacing15lines"/>
            </w:pPr>
            <w:r>
              <w:t>Replicates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roofErr w:type="spellStart"/>
            <w:r>
              <w:t>MilliQ</w:t>
            </w:r>
            <w:proofErr w:type="spellEnd"/>
            <w:r>
              <w:t xml:space="preserve"> water (sample tube wash)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0.161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0.174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3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roofErr w:type="spellStart"/>
            <w:r>
              <w:t>MilliQ</w:t>
            </w:r>
            <w:proofErr w:type="spellEnd"/>
            <w:r>
              <w:t xml:space="preserve"> water, metal free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0.003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0.004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2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r>
              <w:t>Basal Salts Solution (BSS), metal free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0.346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0.071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3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r>
              <w:t>Complete Medium (CM)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0.530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NA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1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r>
              <w:t>CM + Uracil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0.689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0.045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2</w:t>
            </w:r>
          </w:p>
        </w:tc>
      </w:tr>
      <w:tr w:rsidR="00ED0E22" w:rsidTr="00103503"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r>
              <w:t xml:space="preserve">CM + </w:t>
            </w:r>
            <w:proofErr w:type="spellStart"/>
            <w:r>
              <w:t>Mevinolin</w:t>
            </w:r>
            <w:proofErr w:type="spellEnd"/>
            <w:r>
              <w:t xml:space="preserve"> + Uracil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1.841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2.013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0E22" w:rsidRDefault="00ED0E22" w:rsidP="00103503">
            <w:pPr>
              <w:jc w:val="center"/>
            </w:pPr>
            <w:r>
              <w:t>3</w:t>
            </w:r>
          </w:p>
        </w:tc>
      </w:tr>
    </w:tbl>
    <w:p w:rsidR="00ED0E22" w:rsidRDefault="00ED0E22" w:rsidP="00ED0E22"/>
    <w:p w:rsidR="00ED0E22" w:rsidRDefault="00ED0E22" w:rsidP="008827C7">
      <w:pPr>
        <w:ind w:firstLine="0"/>
        <w:rPr>
          <w:b/>
          <w:bCs/>
        </w:rPr>
      </w:pPr>
      <w:r>
        <w:rPr>
          <w:b/>
          <w:bCs/>
        </w:rPr>
        <w:t xml:space="preserve">Table </w:t>
      </w:r>
      <w:proofErr w:type="spellStart"/>
      <w:r>
        <w:rPr>
          <w:b/>
          <w:bCs/>
        </w:rPr>
        <w:t>S1</w:t>
      </w:r>
      <w:proofErr w:type="spellEnd"/>
      <w:r>
        <w:t xml:space="preserve">. Cu abundance in </w:t>
      </w:r>
      <w:proofErr w:type="spellStart"/>
      <w:r>
        <w:t>ICP</w:t>
      </w:r>
      <w:proofErr w:type="spellEnd"/>
      <w:r>
        <w:t>-MS control samples</w:t>
      </w:r>
    </w:p>
    <w:p w:rsidR="00ED0E22" w:rsidRPr="00342BC7" w:rsidRDefault="00ED0E22" w:rsidP="00D91069">
      <w:pPr>
        <w:pStyle w:val="Heading3"/>
        <w:spacing w:line="360" w:lineRule="auto"/>
      </w:pPr>
      <w:bookmarkStart w:id="4" w:name="_Toc316989329"/>
      <w:bookmarkStart w:id="5" w:name="_Toc316989397"/>
      <w:proofErr w:type="spellStart"/>
      <w:r w:rsidRPr="00342BC7">
        <w:lastRenderedPageBreak/>
        <w:t>Metallochaperone</w:t>
      </w:r>
      <w:proofErr w:type="spellEnd"/>
      <w:r w:rsidRPr="00342BC7">
        <w:t xml:space="preserve"> deletion phenotypes</w:t>
      </w:r>
      <w:bookmarkEnd w:id="4"/>
      <w:bookmarkEnd w:id="5"/>
    </w:p>
    <w:p w:rsidR="00ED0E22" w:rsidRDefault="00ED0E22" w:rsidP="00D91069">
      <w:pPr>
        <w:spacing w:line="360" w:lineRule="auto"/>
      </w:pPr>
      <w:r>
        <w:t>W</w:t>
      </w:r>
      <w:r w:rsidRPr="0094256A">
        <w:t xml:space="preserve">e assayed </w:t>
      </w:r>
      <w:proofErr w:type="spellStart"/>
      <w:r w:rsidRPr="0094256A">
        <w:t>metallochaperone</w:t>
      </w:r>
      <w:proofErr w:type="spellEnd"/>
      <w:r w:rsidRPr="0094256A">
        <w:t xml:space="preserve"> deletion mutants for growth under varying concentrations of Cu.</w:t>
      </w:r>
      <w:r>
        <w:t xml:space="preserve"> </w:t>
      </w:r>
      <w:r w:rsidRPr="0094256A">
        <w:t xml:space="preserve">Unlike knockouts for </w:t>
      </w:r>
      <w:proofErr w:type="spellStart"/>
      <w:r w:rsidRPr="0094256A">
        <w:rPr>
          <w:i/>
          <w:iCs/>
        </w:rPr>
        <w:t>VNG1179C</w:t>
      </w:r>
      <w:proofErr w:type="spellEnd"/>
      <w:r w:rsidRPr="0094256A">
        <w:t xml:space="preserve"> or </w:t>
      </w:r>
      <w:proofErr w:type="spellStart"/>
      <w:r w:rsidRPr="0094256A">
        <w:rPr>
          <w:i/>
          <w:iCs/>
        </w:rPr>
        <w:t>yvgX</w:t>
      </w:r>
      <w:proofErr w:type="spellEnd"/>
      <w:r w:rsidRPr="0094256A">
        <w:t xml:space="preserve">, </w:t>
      </w:r>
      <w:proofErr w:type="spellStart"/>
      <w:r w:rsidRPr="0094256A">
        <w:t>metallochaperone</w:t>
      </w:r>
      <w:proofErr w:type="spellEnd"/>
      <w:r w:rsidRPr="0094256A">
        <w:t xml:space="preserve"> knockout mutants </w:t>
      </w:r>
      <w:r>
        <w:t>exhibited</w:t>
      </w:r>
      <w:r w:rsidRPr="0094256A">
        <w:t xml:space="preserve"> no phenotypic defects (Figure </w:t>
      </w:r>
      <w:proofErr w:type="spellStart"/>
      <w:r>
        <w:t>S</w:t>
      </w:r>
      <w:r w:rsidR="008C3988">
        <w:t>5</w:t>
      </w:r>
      <w:proofErr w:type="spellEnd"/>
      <w:r w:rsidRPr="0094256A">
        <w:t>).</w:t>
      </w:r>
      <w:r>
        <w:t xml:space="preserve"> </w:t>
      </w:r>
    </w:p>
    <w:p w:rsidR="00ED0E22" w:rsidRPr="00342BC7" w:rsidRDefault="00ED0E22" w:rsidP="00D91069">
      <w:pPr>
        <w:pStyle w:val="Heading3"/>
        <w:spacing w:line="360" w:lineRule="auto"/>
      </w:pPr>
      <w:bookmarkStart w:id="6" w:name="_Toc316989331"/>
      <w:bookmarkStart w:id="7" w:name="_Toc316989399"/>
      <w:r w:rsidRPr="00342BC7">
        <w:t>Expression vector construction</w:t>
      </w:r>
      <w:bookmarkEnd w:id="6"/>
      <w:bookmarkEnd w:id="7"/>
    </w:p>
    <w:p w:rsidR="00ED0E22" w:rsidRDefault="00ED0E22" w:rsidP="00D91069">
      <w:pPr>
        <w:spacing w:line="360" w:lineRule="auto"/>
      </w:pPr>
      <w:r w:rsidRPr="0051599A">
        <w:t xml:space="preserve">The promoter for </w:t>
      </w:r>
      <w:proofErr w:type="spellStart"/>
      <w:r w:rsidRPr="0051599A">
        <w:t>VNG0700G</w:t>
      </w:r>
      <w:proofErr w:type="spellEnd"/>
      <w:r w:rsidRPr="0051599A">
        <w:t xml:space="preserve"> (</w:t>
      </w:r>
      <w:proofErr w:type="spellStart"/>
      <w:r w:rsidRPr="0051599A">
        <w:t>yvgX</w:t>
      </w:r>
      <w:proofErr w:type="spellEnd"/>
      <w:r w:rsidRPr="0051599A">
        <w:t xml:space="preserve">), cloned directly from the </w:t>
      </w:r>
      <w:r w:rsidRPr="00315721">
        <w:rPr>
          <w:i/>
        </w:rPr>
        <w:t xml:space="preserve">H. </w:t>
      </w:r>
      <w:proofErr w:type="spellStart"/>
      <w:r w:rsidRPr="00315721">
        <w:rPr>
          <w:i/>
        </w:rPr>
        <w:t>salinarum</w:t>
      </w:r>
      <w:proofErr w:type="spellEnd"/>
      <w:r w:rsidRPr="0051599A">
        <w:t xml:space="preserve"> genome, is the </w:t>
      </w:r>
      <w:proofErr w:type="spellStart"/>
      <w:r w:rsidRPr="0051599A">
        <w:t>intergenic</w:t>
      </w:r>
      <w:proofErr w:type="spellEnd"/>
      <w:r w:rsidRPr="0051599A">
        <w:t xml:space="preserve"> space upstream of and including the predicted protein start codon (approx. </w:t>
      </w:r>
      <w:proofErr w:type="spellStart"/>
      <w:r w:rsidRPr="0051599A">
        <w:t>200bp</w:t>
      </w:r>
      <w:proofErr w:type="spellEnd"/>
      <w:r w:rsidRPr="0051599A">
        <w:t>).</w:t>
      </w:r>
      <w:r>
        <w:t xml:space="preserve"> </w:t>
      </w:r>
      <w:proofErr w:type="spellStart"/>
      <w:r w:rsidRPr="0051599A">
        <w:t>GFP</w:t>
      </w:r>
      <w:proofErr w:type="spellEnd"/>
      <w:r w:rsidRPr="0051599A">
        <w:t xml:space="preserve"> (</w:t>
      </w:r>
      <w:proofErr w:type="spellStart"/>
      <w:r w:rsidRPr="0051599A">
        <w:t>smRSGFP1044</w:t>
      </w:r>
      <w:proofErr w:type="spellEnd"/>
      <w:r w:rsidRPr="0051599A">
        <w:t xml:space="preserve">) was cloned from </w:t>
      </w:r>
      <w:proofErr w:type="spellStart"/>
      <w:r w:rsidRPr="0051599A">
        <w:t>pJAM1044</w:t>
      </w:r>
      <w:proofErr w:type="spellEnd"/>
      <w:r w:rsidR="00E20027">
        <w:t xml:space="preserve"> </w:t>
      </w:r>
      <w:r w:rsidR="00E20027">
        <w:fldChar w:fldCharType="begin">
          <w:fldData xml:space="preserve">PEVuZE5vdGU+PENpdGU+PEF1dGhvcj5SZXV0ZXI8L0F1dGhvcj48WWVhcj4yMDA0PC9ZZWFyPjxS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</w:fldData>
        </w:fldChar>
      </w:r>
      <w:r w:rsidR="009A3DC7">
        <w:instrText xml:space="preserve"> ADDIN EN.CITE </w:instrText>
      </w:r>
      <w:r w:rsidR="009A3DC7">
        <w:fldChar w:fldCharType="begin">
          <w:fldData xml:space="preserve">PEVuZE5vdGU+PENpdGU+PEF1dGhvcj5SZXV0ZXI8L0F1dGhvcj48WWVhcj4yMDA0PC9ZZWFyPjxS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</w:fldData>
        </w:fldChar>
      </w:r>
      <w:r w:rsidR="009A3DC7">
        <w:instrText xml:space="preserve"> ADDIN EN.CITE.DATA </w:instrText>
      </w:r>
      <w:r w:rsidR="009A3DC7">
        <w:fldChar w:fldCharType="end"/>
      </w:r>
      <w:r w:rsidR="00E20027">
        <w:fldChar w:fldCharType="separate"/>
      </w:r>
      <w:r w:rsidR="009A3DC7">
        <w:rPr>
          <w:noProof/>
        </w:rPr>
        <w:t>[</w:t>
      </w:r>
      <w:hyperlink w:anchor="_ENREF_1" w:tooltip="Reuter, 2004 #42" w:history="1">
        <w:r w:rsidR="009A3DC7">
          <w:rPr>
            <w:noProof/>
          </w:rPr>
          <w:t>1</w:t>
        </w:r>
      </w:hyperlink>
      <w:r w:rsidR="009A3DC7">
        <w:rPr>
          <w:noProof/>
        </w:rPr>
        <w:t>]</w:t>
      </w:r>
      <w:r w:rsidR="00E20027">
        <w:fldChar w:fldCharType="end"/>
      </w:r>
      <w:r w:rsidR="00E20027">
        <w:t xml:space="preserve"> </w:t>
      </w:r>
      <w:r w:rsidRPr="0051599A">
        <w:t>.</w:t>
      </w:r>
      <w:r>
        <w:t xml:space="preserve"> </w:t>
      </w:r>
      <w:r w:rsidRPr="0051599A">
        <w:t xml:space="preserve">Since transcript termination signals have yet to be identified in </w:t>
      </w:r>
      <w:r w:rsidRPr="0051599A">
        <w:rPr>
          <w:i/>
        </w:rPr>
        <w:t xml:space="preserve">H. </w:t>
      </w:r>
      <w:proofErr w:type="spellStart"/>
      <w:r w:rsidRPr="0051599A">
        <w:rPr>
          <w:i/>
        </w:rPr>
        <w:t>salinarum</w:t>
      </w:r>
      <w:proofErr w:type="spellEnd"/>
      <w:r w:rsidRPr="0051599A">
        <w:t xml:space="preserve">, the </w:t>
      </w:r>
      <w:proofErr w:type="spellStart"/>
      <w:r w:rsidRPr="0051599A">
        <w:t>pr0700</w:t>
      </w:r>
      <w:proofErr w:type="spellEnd"/>
      <w:r w:rsidRPr="0051599A">
        <w:t>&gt;</w:t>
      </w:r>
      <w:proofErr w:type="spellStart"/>
      <w:r w:rsidRPr="0051599A">
        <w:t>smRSGFP1044</w:t>
      </w:r>
      <w:proofErr w:type="spellEnd"/>
      <w:r w:rsidRPr="0051599A">
        <w:t xml:space="preserve"> fusion is divergent of </w:t>
      </w:r>
      <w:proofErr w:type="spellStart"/>
      <w:r w:rsidRPr="0051599A">
        <w:t>ferrodoxin</w:t>
      </w:r>
      <w:proofErr w:type="spellEnd"/>
      <w:r w:rsidRPr="0051599A">
        <w:t xml:space="preserve"> promoter (</w:t>
      </w:r>
      <w:proofErr w:type="spellStart"/>
      <w:r w:rsidRPr="0051599A">
        <w:t>prFdx</w:t>
      </w:r>
      <w:proofErr w:type="spellEnd"/>
      <w:r w:rsidRPr="0051599A">
        <w:t xml:space="preserve">) fusions to avoid aberrant overexpression of </w:t>
      </w:r>
      <w:proofErr w:type="spellStart"/>
      <w:r w:rsidRPr="0051599A">
        <w:t>GFP</w:t>
      </w:r>
      <w:proofErr w:type="spellEnd"/>
      <w:r w:rsidRPr="0051599A">
        <w:t>.</w:t>
      </w:r>
      <w:r>
        <w:t xml:space="preserve"> </w:t>
      </w:r>
      <w:r w:rsidRPr="0051599A">
        <w:t xml:space="preserve">The genes for </w:t>
      </w:r>
      <w:proofErr w:type="spellStart"/>
      <w:r w:rsidRPr="0051599A">
        <w:t>VNG0702H</w:t>
      </w:r>
      <w:proofErr w:type="spellEnd"/>
      <w:r w:rsidRPr="0051599A">
        <w:t xml:space="preserve"> and </w:t>
      </w:r>
      <w:proofErr w:type="spellStart"/>
      <w:r w:rsidRPr="0051599A">
        <w:t>VNG2581H</w:t>
      </w:r>
      <w:proofErr w:type="spellEnd"/>
      <w:r w:rsidRPr="0051599A">
        <w:t xml:space="preserve"> were each cloned from the </w:t>
      </w:r>
      <w:r w:rsidRPr="00F675AE">
        <w:rPr>
          <w:i/>
        </w:rPr>
        <w:t xml:space="preserve">H. </w:t>
      </w:r>
      <w:proofErr w:type="spellStart"/>
      <w:r w:rsidRPr="00F675AE">
        <w:rPr>
          <w:i/>
        </w:rPr>
        <w:t>salinarum</w:t>
      </w:r>
      <w:proofErr w:type="spellEnd"/>
      <w:r w:rsidRPr="0051599A">
        <w:t xml:space="preserve"> genome according to predicted </w:t>
      </w:r>
      <w:proofErr w:type="spellStart"/>
      <w:r w:rsidRPr="0051599A">
        <w:t>ORF</w:t>
      </w:r>
      <w:proofErr w:type="spellEnd"/>
      <w:r w:rsidRPr="0051599A">
        <w:t xml:space="preserve"> boundaries.</w:t>
      </w:r>
      <w:r w:rsidR="00F675AE">
        <w:t xml:space="preserve">  Overexpression was</w:t>
      </w:r>
      <w:r w:rsidR="00D91069">
        <w:t xml:space="preserve"> confirmed using </w:t>
      </w:r>
      <w:proofErr w:type="spellStart"/>
      <w:r w:rsidR="00D91069">
        <w:t>qPCR</w:t>
      </w:r>
      <w:proofErr w:type="spellEnd"/>
      <w:r w:rsidR="00D91069">
        <w:t xml:space="preserve"> (Figure </w:t>
      </w:r>
      <w:proofErr w:type="spellStart"/>
      <w:r w:rsidR="00D91069">
        <w:t>S6</w:t>
      </w:r>
      <w:proofErr w:type="spellEnd"/>
      <w:r w:rsidR="00F675AE">
        <w:t>).</w:t>
      </w:r>
    </w:p>
    <w:p w:rsidR="00DF711F" w:rsidRDefault="00DF711F" w:rsidP="00D91069">
      <w:pPr>
        <w:pStyle w:val="Heading3"/>
        <w:spacing w:line="360" w:lineRule="auto"/>
      </w:pPr>
      <w:bookmarkStart w:id="8" w:name="_Toc316989332"/>
      <w:bookmarkStart w:id="9" w:name="_Toc316989400"/>
      <w:r>
        <w:t xml:space="preserve">Quantitative </w:t>
      </w:r>
      <w:proofErr w:type="spellStart"/>
      <w:r>
        <w:t>PCR</w:t>
      </w:r>
      <w:proofErr w:type="spellEnd"/>
      <w:r>
        <w:t xml:space="preserve"> protocol</w:t>
      </w:r>
      <w:bookmarkEnd w:id="8"/>
      <w:bookmarkEnd w:id="9"/>
    </w:p>
    <w:p w:rsidR="00DF711F" w:rsidRPr="00DF711F" w:rsidRDefault="00DF711F" w:rsidP="00D91069">
      <w:pPr>
        <w:spacing w:line="360" w:lineRule="auto"/>
      </w:pPr>
      <w:r>
        <w:t xml:space="preserve">Total RNA was extracted </w:t>
      </w:r>
      <w:proofErr w:type="gramStart"/>
      <w:r>
        <w:t xml:space="preserve">with  </w:t>
      </w:r>
      <w:proofErr w:type="spellStart"/>
      <w:r>
        <w:t>mirVana</w:t>
      </w:r>
      <w:proofErr w:type="spellEnd"/>
      <w:proofErr w:type="gramEnd"/>
      <w:r>
        <w:t xml:space="preserve">™ </w:t>
      </w:r>
      <w:proofErr w:type="spellStart"/>
      <w:r>
        <w:t>miRNA</w:t>
      </w:r>
      <w:proofErr w:type="spellEnd"/>
      <w:r>
        <w:t xml:space="preserve"> Isolation Kit (</w:t>
      </w:r>
      <w:proofErr w:type="spellStart"/>
      <w:r>
        <w:t>Ambion</w:t>
      </w:r>
      <w:proofErr w:type="spellEnd"/>
      <w:r>
        <w:t xml:space="preserve"> – </w:t>
      </w:r>
      <w:proofErr w:type="spellStart"/>
      <w:r>
        <w:t>AM1561</w:t>
      </w:r>
      <w:proofErr w:type="spellEnd"/>
      <w:r>
        <w:t xml:space="preserve">) and  treated with </w:t>
      </w:r>
      <w:proofErr w:type="spellStart"/>
      <w:r>
        <w:t>DNase</w:t>
      </w:r>
      <w:proofErr w:type="spellEnd"/>
      <w:r>
        <w:t xml:space="preserve"> (DNA-free kit-</w:t>
      </w:r>
      <w:proofErr w:type="spellStart"/>
      <w:r>
        <w:t>AM1561</w:t>
      </w:r>
      <w:proofErr w:type="spellEnd"/>
      <w:r>
        <w:t xml:space="preserve">) to remove genomic DNA contamination. The integrity of the RNA samples was checked using an Agilent </w:t>
      </w:r>
      <w:proofErr w:type="spellStart"/>
      <w:r>
        <w:t>Bioanalyzer</w:t>
      </w:r>
      <w:proofErr w:type="spellEnd"/>
      <w:r>
        <w:t xml:space="preserve">.  Power </w:t>
      </w:r>
      <w:proofErr w:type="spellStart"/>
      <w:r>
        <w:t>SYBR</w:t>
      </w:r>
      <w:proofErr w:type="spellEnd"/>
      <w:r>
        <w:t xml:space="preserve">® Green RNA-to-CT ™ 1-Step Kit  (Applied </w:t>
      </w:r>
      <w:proofErr w:type="spellStart"/>
      <w:r>
        <w:t>Biosystems</w:t>
      </w:r>
      <w:proofErr w:type="spellEnd"/>
      <w:r>
        <w:t xml:space="preserve"> – 4389986) was used to prepare one-step </w:t>
      </w:r>
      <w:proofErr w:type="spellStart"/>
      <w:r>
        <w:t>RT-PCR</w:t>
      </w:r>
      <w:proofErr w:type="spellEnd"/>
      <w:r>
        <w:t xml:space="preserve"> reaction mix with </w:t>
      </w:r>
      <w:proofErr w:type="spellStart"/>
      <w:r>
        <w:t>SYBR</w:t>
      </w:r>
      <w:proofErr w:type="spellEnd"/>
      <w:r>
        <w:t xml:space="preserve">® Green reagents. Reactions were cycled and measured on a </w:t>
      </w:r>
      <w:proofErr w:type="spellStart"/>
      <w:r>
        <w:t>7900HT</w:t>
      </w:r>
      <w:proofErr w:type="spellEnd"/>
      <w:r>
        <w:t xml:space="preserve"> from Applied </w:t>
      </w:r>
      <w:proofErr w:type="spellStart"/>
      <w:r>
        <w:t>Biosystems</w:t>
      </w:r>
      <w:proofErr w:type="spellEnd"/>
      <w:r>
        <w:t xml:space="preserve"> in 384-well plate format.  Absolute transcript levels were quantified </w:t>
      </w:r>
      <w:r w:rsidR="00704B86">
        <w:t>using a</w:t>
      </w:r>
      <w:r>
        <w:t xml:space="preserve"> standard curve</w:t>
      </w:r>
      <w:r w:rsidR="00F55BFF">
        <w:t xml:space="preserve"> </w:t>
      </w:r>
      <w:r w:rsidR="00704B86">
        <w:t>and</w:t>
      </w:r>
      <w:r w:rsidR="00F55BFF">
        <w:t xml:space="preserve"> gene-specific primers for </w:t>
      </w:r>
      <w:proofErr w:type="spellStart"/>
      <w:r w:rsidR="00F55BFF">
        <w:t>VNG0702H</w:t>
      </w:r>
      <w:proofErr w:type="spellEnd"/>
      <w:r w:rsidR="00F55BFF">
        <w:t xml:space="preserve"> and </w:t>
      </w:r>
      <w:proofErr w:type="spellStart"/>
      <w:r w:rsidR="00F55BFF">
        <w:t>VNG2581H</w:t>
      </w:r>
      <w:proofErr w:type="spellEnd"/>
      <w:r>
        <w:t>.</w:t>
      </w:r>
    </w:p>
    <w:p w:rsidR="009F3765" w:rsidRPr="004627D0" w:rsidRDefault="004627D0" w:rsidP="00D91069">
      <w:pPr>
        <w:pStyle w:val="Heading3"/>
        <w:spacing w:line="360" w:lineRule="auto"/>
      </w:pPr>
      <w:bookmarkStart w:id="10" w:name="_Toc316989333"/>
      <w:bookmarkStart w:id="11" w:name="_Toc316989401"/>
      <w:r>
        <w:t>References</w:t>
      </w:r>
      <w:bookmarkEnd w:id="10"/>
      <w:bookmarkEnd w:id="11"/>
    </w:p>
    <w:p w:rsidR="009A3DC7" w:rsidRDefault="00E20027" w:rsidP="00D91069">
      <w:pPr>
        <w:pStyle w:val="NormalWeb"/>
        <w:spacing w:line="36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2" w:name="_ENREF_1"/>
      <w:r w:rsidR="009A3DC7">
        <w:rPr>
          <w:noProof/>
        </w:rPr>
        <w:t>1. Reuter CJ, Maupin-Furlow JA (2004) Analysis of proteasome-dependent proteolysis in Haloferax volcanii cells, using short-lived green fluorescent proteins. Applied and environmental microbiology 70: 7530-7538.</w:t>
      </w:r>
      <w:bookmarkEnd w:id="12"/>
    </w:p>
    <w:p w:rsidR="009A3DC7" w:rsidRDefault="009A3DC7" w:rsidP="00D91069">
      <w:pPr>
        <w:pStyle w:val="NormalWeb"/>
        <w:spacing w:line="360" w:lineRule="auto"/>
        <w:rPr>
          <w:noProof/>
        </w:rPr>
      </w:pPr>
    </w:p>
    <w:p w:rsidR="00103503" w:rsidRDefault="00E20027" w:rsidP="00D91069">
      <w:pPr>
        <w:pStyle w:val="NormalWeb"/>
        <w:spacing w:line="360" w:lineRule="auto"/>
        <w:ind w:left="640" w:hanging="640"/>
        <w:divId w:val="1828787496"/>
      </w:pPr>
      <w:r>
        <w:fldChar w:fldCharType="end"/>
      </w:r>
    </w:p>
    <w:sectPr w:rsidR="00103503" w:rsidSect="00ED0E22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A" w:rsidRDefault="00186E5A" w:rsidP="00C20BE4">
      <w:r>
        <w:separator/>
      </w:r>
    </w:p>
  </w:endnote>
  <w:endnote w:type="continuationSeparator" w:id="0">
    <w:p w:rsidR="00186E5A" w:rsidRDefault="00186E5A" w:rsidP="00C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A" w:rsidRDefault="00186E5A">
    <w:pPr>
      <w:pStyle w:val="Footer"/>
      <w:jc w:val="center"/>
    </w:pPr>
    <w:r>
      <w:t>S-</w:t>
    </w:r>
    <w:sdt>
      <w:sdtPr>
        <w:id w:val="49511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6E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86E5A" w:rsidRDefault="00186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98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E5A" w:rsidRDefault="00186E5A">
        <w:pPr>
          <w:pStyle w:val="Footer"/>
          <w:jc w:val="center"/>
        </w:pPr>
        <w:r>
          <w:t>S-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E5A" w:rsidRDefault="00186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A" w:rsidRDefault="00186E5A" w:rsidP="00C20BE4">
      <w:r>
        <w:separator/>
      </w:r>
    </w:p>
  </w:footnote>
  <w:footnote w:type="continuationSeparator" w:id="0">
    <w:p w:rsidR="00186E5A" w:rsidRDefault="00186E5A" w:rsidP="00C2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-931818930"/>
      <w:placeholder>
        <w:docPart w:val="F14FF17B3C4143878D32C4DF01F9F6C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86E5A" w:rsidRDefault="007B0581">
        <w:pPr>
          <w:pStyle w:val="Header"/>
        </w:pPr>
        <w:r>
          <w:t xml:space="preserve">Regulation of Cu levels by </w:t>
        </w:r>
        <w:proofErr w:type="spellStart"/>
        <w:proofErr w:type="gramStart"/>
        <w:r>
          <w:t>Metallochaperones</w:t>
        </w:r>
        <w:proofErr w:type="spellEnd"/>
        <w:r>
          <w:t xml:space="preserve">  (</w:t>
        </w:r>
        <w:proofErr w:type="gramEnd"/>
        <w:r>
          <w:t>Supplement)</w:t>
        </w:r>
      </w:p>
    </w:sdtContent>
  </w:sdt>
  <w:p w:rsidR="00186E5A" w:rsidRDefault="00186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6CC02E"/>
    <w:lvl w:ilvl="0" w:tplc="92E29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C8CB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8782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6E6A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58AD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AC4F7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F6A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9A6B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1EA6A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3F154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5716DD"/>
    <w:multiLevelType w:val="multilevel"/>
    <w:tmpl w:val="C6844A78"/>
    <w:name w:val="Equation"/>
    <w:lvl w:ilvl="0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D0E22"/>
    <w:rsid w:val="00003251"/>
    <w:rsid w:val="00010CD7"/>
    <w:rsid w:val="00055C16"/>
    <w:rsid w:val="00073C17"/>
    <w:rsid w:val="00103503"/>
    <w:rsid w:val="00111484"/>
    <w:rsid w:val="001224BB"/>
    <w:rsid w:val="001738C5"/>
    <w:rsid w:val="00186E5A"/>
    <w:rsid w:val="00191A6E"/>
    <w:rsid w:val="001A2320"/>
    <w:rsid w:val="00237024"/>
    <w:rsid w:val="002604E0"/>
    <w:rsid w:val="003123EA"/>
    <w:rsid w:val="003368FD"/>
    <w:rsid w:val="003F6E39"/>
    <w:rsid w:val="004627D0"/>
    <w:rsid w:val="004E5C23"/>
    <w:rsid w:val="00551CB2"/>
    <w:rsid w:val="005E1EA2"/>
    <w:rsid w:val="006A58C4"/>
    <w:rsid w:val="006D1755"/>
    <w:rsid w:val="006F2654"/>
    <w:rsid w:val="00704B86"/>
    <w:rsid w:val="007831FD"/>
    <w:rsid w:val="007B0581"/>
    <w:rsid w:val="008827C7"/>
    <w:rsid w:val="00887723"/>
    <w:rsid w:val="008C3988"/>
    <w:rsid w:val="009214DF"/>
    <w:rsid w:val="00975AD8"/>
    <w:rsid w:val="00981EDD"/>
    <w:rsid w:val="009A3DC7"/>
    <w:rsid w:val="009F3765"/>
    <w:rsid w:val="00A146EA"/>
    <w:rsid w:val="00AB4D80"/>
    <w:rsid w:val="00AC6590"/>
    <w:rsid w:val="00B00DCA"/>
    <w:rsid w:val="00BA0AC0"/>
    <w:rsid w:val="00C20BE4"/>
    <w:rsid w:val="00CC4E0D"/>
    <w:rsid w:val="00CD54C7"/>
    <w:rsid w:val="00D7708A"/>
    <w:rsid w:val="00D91069"/>
    <w:rsid w:val="00DB14CC"/>
    <w:rsid w:val="00DF711F"/>
    <w:rsid w:val="00E20027"/>
    <w:rsid w:val="00E45FD9"/>
    <w:rsid w:val="00EA3756"/>
    <w:rsid w:val="00EC09B7"/>
    <w:rsid w:val="00ED0E22"/>
    <w:rsid w:val="00F55BFF"/>
    <w:rsid w:val="00F675AE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22"/>
    <w:pPr>
      <w:spacing w:after="0" w:line="240" w:lineRule="auto"/>
      <w:ind w:firstLine="288"/>
      <w:jc w:val="both"/>
    </w:pPr>
    <w:rPr>
      <w:rFonts w:ascii="Times New Roman" w:eastAsia="Times New Roman" w:hAnsi="Times New Roman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E22"/>
    <w:pPr>
      <w:spacing w:before="480" w:after="120"/>
      <w:ind w:firstLine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E22"/>
    <w:pPr>
      <w:spacing w:before="360" w:after="80"/>
      <w:ind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E22"/>
    <w:pPr>
      <w:spacing w:before="280" w:after="80"/>
      <w:ind w:firstLine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0E22"/>
    <w:rPr>
      <w:rFonts w:ascii="Times New Roman" w:eastAsia="Times New Roman" w:hAnsi="Times New Roman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ED0E22"/>
    <w:rPr>
      <w:rFonts w:ascii="Times New Roman" w:eastAsia="Times New Roman" w:hAnsi="Times New Roman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D0E22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D0E22"/>
    <w:rPr>
      <w:rFonts w:cs="Times New Roman"/>
      <w:i/>
      <w:iCs/>
    </w:rPr>
  </w:style>
  <w:style w:type="paragraph" w:customStyle="1" w:styleId="StyleCenteredLinespacing15lines">
    <w:name w:val="Style Centered Line spacing:  1.5 lines"/>
    <w:basedOn w:val="Normal"/>
    <w:rsid w:val="00ED0E22"/>
    <w:pPr>
      <w:jc w:val="center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NoIndent">
    <w:name w:val="Normal (No Indent)"/>
    <w:basedOn w:val="Normal"/>
    <w:rsid w:val="00C20BE4"/>
    <w:pPr>
      <w:ind w:firstLine="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E4"/>
    <w:rPr>
      <w:rFonts w:ascii="Times New Roman" w:eastAsia="Times New Roman" w:hAnsi="Times New Roman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E4"/>
    <w:rPr>
      <w:rFonts w:ascii="Times New Roman" w:eastAsia="Times New Roman" w:hAnsi="Times New Roman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20BE4"/>
    <w:rPr>
      <w:color w:val="808080"/>
    </w:rPr>
  </w:style>
  <w:style w:type="paragraph" w:styleId="NormalWeb">
    <w:name w:val="Normal (Web)"/>
    <w:basedOn w:val="Normal"/>
    <w:uiPriority w:val="99"/>
    <w:unhideWhenUsed/>
    <w:rsid w:val="009214DF"/>
    <w:pPr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831FD"/>
    <w:rPr>
      <w:b/>
      <w:bCs/>
    </w:rPr>
  </w:style>
  <w:style w:type="table" w:styleId="TableGrid">
    <w:name w:val="Table Grid"/>
    <w:basedOn w:val="TableNormal"/>
    <w:uiPriority w:val="59"/>
    <w:rsid w:val="00FE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75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E5C2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E5C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5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22"/>
    <w:pPr>
      <w:spacing w:after="0" w:line="240" w:lineRule="auto"/>
      <w:ind w:firstLine="288"/>
      <w:jc w:val="both"/>
    </w:pPr>
    <w:rPr>
      <w:rFonts w:ascii="Times New Roman" w:eastAsia="Times New Roman" w:hAnsi="Times New Roman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E22"/>
    <w:pPr>
      <w:spacing w:before="480" w:after="120"/>
      <w:ind w:firstLine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E22"/>
    <w:pPr>
      <w:spacing w:before="360" w:after="80"/>
      <w:ind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E22"/>
    <w:pPr>
      <w:spacing w:before="280" w:after="80"/>
      <w:ind w:firstLine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0E22"/>
    <w:rPr>
      <w:rFonts w:ascii="Times New Roman" w:eastAsia="Times New Roman" w:hAnsi="Times New Roman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ED0E22"/>
    <w:rPr>
      <w:rFonts w:ascii="Times New Roman" w:eastAsia="Times New Roman" w:hAnsi="Times New Roman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ED0E22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ED0E22"/>
    <w:rPr>
      <w:rFonts w:cs="Times New Roman"/>
      <w:i/>
      <w:iCs/>
    </w:rPr>
  </w:style>
  <w:style w:type="paragraph" w:customStyle="1" w:styleId="StyleCenteredLinespacing15lines">
    <w:name w:val="Style Centered Line spacing:  1.5 lines"/>
    <w:basedOn w:val="Normal"/>
    <w:rsid w:val="00ED0E22"/>
    <w:pPr>
      <w:jc w:val="center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E2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NoIndent">
    <w:name w:val="Normal (No Indent)"/>
    <w:basedOn w:val="Normal"/>
    <w:rsid w:val="00C20BE4"/>
    <w:pPr>
      <w:ind w:firstLine="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2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E4"/>
    <w:rPr>
      <w:rFonts w:ascii="Times New Roman" w:eastAsia="Times New Roman" w:hAnsi="Times New Roman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E4"/>
    <w:rPr>
      <w:rFonts w:ascii="Times New Roman" w:eastAsia="Times New Roman" w:hAnsi="Times New Roman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C20BE4"/>
    <w:rPr>
      <w:color w:val="808080"/>
    </w:rPr>
  </w:style>
  <w:style w:type="paragraph" w:styleId="NormalWeb">
    <w:name w:val="Normal (Web)"/>
    <w:basedOn w:val="Normal"/>
    <w:uiPriority w:val="99"/>
    <w:unhideWhenUsed/>
    <w:rsid w:val="009214DF"/>
    <w:pPr>
      <w:spacing w:before="100" w:beforeAutospacing="1" w:after="100" w:afterAutospacing="1"/>
      <w:ind w:firstLine="0"/>
      <w:jc w:val="left"/>
    </w:pPr>
    <w:rPr>
      <w:rFonts w:eastAsiaTheme="minorEastAsia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831FD"/>
    <w:rPr>
      <w:b/>
      <w:bCs/>
    </w:rPr>
  </w:style>
  <w:style w:type="table" w:styleId="TableGrid">
    <w:name w:val="Table Grid"/>
    <w:basedOn w:val="TableNormal"/>
    <w:uiPriority w:val="59"/>
    <w:rsid w:val="00FE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756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E5C23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E5C2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5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FF17B3C4143878D32C4DF01F9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7AA4-F697-482C-BD2D-B577243CE19D}"/>
      </w:docPartPr>
      <w:docPartBody>
        <w:p w:rsidR="001C0253" w:rsidRDefault="00F43E1C">
          <w:r w:rsidRPr="00D95A7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1C"/>
    <w:rsid w:val="00032B60"/>
    <w:rsid w:val="001C0253"/>
    <w:rsid w:val="003621A6"/>
    <w:rsid w:val="004F6229"/>
    <w:rsid w:val="00740A9E"/>
    <w:rsid w:val="008C23E7"/>
    <w:rsid w:val="008F48BA"/>
    <w:rsid w:val="00992DB1"/>
    <w:rsid w:val="00D31D13"/>
    <w:rsid w:val="00D54BDE"/>
    <w:rsid w:val="00F43E1C"/>
    <w:rsid w:val="00F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3010C6EF54CD1B32D9E05D5D28FF7">
    <w:name w:val="9EA3010C6EF54CD1B32D9E05D5D28FF7"/>
    <w:rsid w:val="00F43E1C"/>
  </w:style>
  <w:style w:type="character" w:styleId="PlaceholderText">
    <w:name w:val="Placeholder Text"/>
    <w:basedOn w:val="DefaultParagraphFont"/>
    <w:uiPriority w:val="99"/>
    <w:semiHidden/>
    <w:rsid w:val="00F43E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A3010C6EF54CD1B32D9E05D5D28FF7">
    <w:name w:val="9EA3010C6EF54CD1B32D9E05D5D28FF7"/>
    <w:rsid w:val="00F43E1C"/>
  </w:style>
  <w:style w:type="character" w:styleId="PlaceholderText">
    <w:name w:val="Placeholder Text"/>
    <w:basedOn w:val="DefaultParagraphFont"/>
    <w:uiPriority w:val="99"/>
    <w:semiHidden/>
    <w:rsid w:val="00F43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BAD4-8967-4801-81DD-5FD7C70B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of Cu levels by Metallochaperones  (Supplement)</vt:lpstr>
    </vt:vector>
  </TitlesOfParts>
  <Company>Toshiba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of Cu levels by Metallochaperones  (Supplement)</dc:title>
  <dc:creator>Lee</dc:creator>
  <cp:lastModifiedBy>akaur</cp:lastModifiedBy>
  <cp:revision>3</cp:revision>
  <cp:lastPrinted>2011-12-14T06:05:00Z</cp:lastPrinted>
  <dcterms:created xsi:type="dcterms:W3CDTF">2012-12-10T16:44:00Z</dcterms:created>
  <dcterms:modified xsi:type="dcterms:W3CDTF">2012-12-10T17:57:00Z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wleepang@gmail.com@www.mendeley.com</vt:lpwstr>
  </property>
  <property fmtid="{D5CDD505-2E9C-101B-9397-08002B2CF9AE}" pid="4" name="Mendeley Citation Style_1">
    <vt:lpwstr>http://www.zotero.org/styles/jbc_custom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0_1">
    <vt:lpwstr>http://www.zotero.org/styles/apsa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2_1">
    <vt:lpwstr>http://www.zotero.org/styles/asa</vt:lpwstr>
  </property>
  <property fmtid="{D5CDD505-2E9C-101B-9397-08002B2CF9AE}" pid="11" name="Mendeley Recent Style Name 3_1">
    <vt:lpwstr>Chicago Manual of Style (Author-Date format)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4_1">
    <vt:lpwstr>http://www.zotero.org/styles/harvard1</vt:lpwstr>
  </property>
  <property fmtid="{D5CDD505-2E9C-101B-9397-08002B2CF9AE}" pid="15" name="Mendeley Recent Style Name 5_1">
    <vt:lpwstr>IEEE</vt:lpwstr>
  </property>
  <property fmtid="{D5CDD505-2E9C-101B-9397-08002B2CF9AE}" pid="16" name="Mendeley Recent Style Id 5_1">
    <vt:lpwstr>http://www.zotero.org/styles/ieee</vt:lpwstr>
  </property>
  <property fmtid="{D5CDD505-2E9C-101B-9397-08002B2CF9AE}" pid="17" name="Mendeley Recent Style Name 6_1">
    <vt:lpwstr>Journal of Biological Chemistry (custom)</vt:lpwstr>
  </property>
  <property fmtid="{D5CDD505-2E9C-101B-9397-08002B2CF9AE}" pid="18" name="Mendeley Recent Style Id 6_1">
    <vt:lpwstr>http://www.zotero.org/styles/jbc_custom</vt:lpwstr>
  </property>
  <property fmtid="{D5CDD505-2E9C-101B-9397-08002B2CF9AE}" pid="19" name="Mendeley Recent Style Name 7_1">
    <vt:lpwstr>Modern Humanities Research Association (Note with Bibliography)</vt:lpwstr>
  </property>
  <property fmtid="{D5CDD505-2E9C-101B-9397-08002B2CF9AE}" pid="20" name="Mendeley Recent Style Id 7_1">
    <vt:lpwstr>http://www.zotero.org/styles/mhra</vt:lpwstr>
  </property>
  <property fmtid="{D5CDD505-2E9C-101B-9397-08002B2CF9AE}" pid="21" name="Mendeley Recent Style Name 8_1">
    <vt:lpwstr>Modern Language Association</vt:lpwstr>
  </property>
  <property fmtid="{D5CDD505-2E9C-101B-9397-08002B2CF9AE}" pid="22" name="Mendeley Recent Style Id 8_1">
    <vt:lpwstr>http://www.zotero.org/styles/mla</vt:lpwstr>
  </property>
  <property fmtid="{D5CDD505-2E9C-101B-9397-08002B2CF9AE}" pid="23" name="Mendeley Recent Style Name 9_1">
    <vt:lpwstr>Nature Journal</vt:lpwstr>
  </property>
  <property fmtid="{D5CDD505-2E9C-101B-9397-08002B2CF9AE}" pid="24" name="Mendeley Recent Style Id 9_1">
    <vt:lpwstr>http://www.zotero.org/styles/nature</vt:lpwstr>
  </property>
</Properties>
</file>