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959E8" w:rsidRDefault="002959E8" w:rsidP="00952454">
      <w:pPr>
        <w:jc w:val="center"/>
        <w:rPr>
          <w:b/>
          <w:sz w:val="36"/>
          <w:szCs w:val="36"/>
        </w:rPr>
      </w:pPr>
    </w:p>
    <w:p w:rsidR="00AD31D1" w:rsidRDefault="00AD31D1">
      <w:pPr>
        <w:rPr>
          <w:rFonts w:ascii="Times New Roman" w:hAnsi="Times New Roman" w:cs="Times New Roman"/>
          <w:b/>
        </w:rPr>
      </w:pPr>
    </w:p>
    <w:p w:rsidR="00FF2F08" w:rsidRDefault="00FF2F08" w:rsidP="00AD31D1">
      <w:pPr>
        <w:rPr>
          <w:rFonts w:ascii="Times New Roman" w:hAnsi="Times New Roman" w:cs="Times New Roman"/>
          <w:b/>
        </w:rPr>
      </w:pPr>
    </w:p>
    <w:p w:rsidR="00FF2F08" w:rsidRDefault="00FF2F08" w:rsidP="007F0389">
      <w:pPr>
        <w:jc w:val="both"/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tbl>
      <w:tblPr>
        <w:tblW w:w="9961" w:type="dxa"/>
        <w:jc w:val="center"/>
        <w:tblLook w:val="04A0"/>
      </w:tblPr>
      <w:tblGrid>
        <w:gridCol w:w="1652"/>
        <w:gridCol w:w="768"/>
        <w:gridCol w:w="767"/>
        <w:gridCol w:w="767"/>
        <w:gridCol w:w="767"/>
        <w:gridCol w:w="236"/>
        <w:gridCol w:w="1655"/>
        <w:gridCol w:w="769"/>
        <w:gridCol w:w="860"/>
        <w:gridCol w:w="860"/>
        <w:gridCol w:w="860"/>
      </w:tblGrid>
      <w:tr w:rsidR="007F0389" w:rsidRPr="007F0389">
        <w:trPr>
          <w:trHeight w:val="360"/>
          <w:jc w:val="center"/>
        </w:trPr>
        <w:tc>
          <w:tcPr>
            <w:tcW w:w="7321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Table S1</w:t>
            </w:r>
            <w:r w:rsidRPr="007F038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: </w:t>
            </w:r>
            <w:r w:rsidRPr="007F03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Proximity of isoflurane to residues within each site. 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F0389" w:rsidRPr="007F0389">
        <w:trPr>
          <w:trHeight w:val="300"/>
          <w:jc w:val="center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389" w:rsidRPr="007F0389">
        <w:trPr>
          <w:trHeight w:val="320"/>
          <w:jc w:val="center"/>
        </w:trPr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Extracellular Site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Cavity Site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389" w:rsidRPr="007F0389">
        <w:trPr>
          <w:trHeight w:val="280"/>
          <w:jc w:val="center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389" w:rsidRPr="007F0389">
        <w:trPr>
          <w:trHeight w:val="300"/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Residue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proofErr w:type="gram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  <w:proofErr w:type="gram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proofErr w:type="gram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proofErr w:type="gramEnd"/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Residue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proofErr w:type="gram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  <w:proofErr w:type="gram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proofErr w:type="gram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proofErr w:type="gramEnd"/>
          </w:p>
        </w:tc>
      </w:tr>
      <w:tr w:rsidR="007F0389" w:rsidRPr="007F038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E172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T220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</w:tr>
      <w:tr w:rsidR="007F0389" w:rsidRPr="007F0389">
        <w:trPr>
          <w:trHeight w:val="32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L179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F227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</w:tr>
      <w:tr w:rsidR="007F0389" w:rsidRPr="007F038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L182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389" w:rsidRPr="007F0389">
        <w:trPr>
          <w:trHeight w:val="32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Q186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Fenestration Site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389" w:rsidRPr="007F0389">
        <w:trPr>
          <w:trHeight w:val="34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W193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389" w:rsidRPr="007F038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Residue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proofErr w:type="gram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  <w:proofErr w:type="gram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proofErr w:type="gramEnd"/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proofErr w:type="gramEnd"/>
          </w:p>
        </w:tc>
      </w:tr>
      <w:tr w:rsidR="007F0389" w:rsidRPr="007F038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M198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F185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</w:tr>
      <w:tr w:rsidR="007F0389" w:rsidRPr="007F038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R199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V188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</w:tr>
      <w:tr w:rsidR="007F0389" w:rsidRPr="007F0389">
        <w:trPr>
          <w:trHeight w:val="32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F202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T189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</w:tr>
      <w:tr w:rsidR="007F0389" w:rsidRPr="007F0389">
        <w:trPr>
          <w:trHeight w:val="300"/>
          <w:jc w:val="center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L190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</w:tr>
      <w:tr w:rsidR="007F0389" w:rsidRPr="007F0389">
        <w:trPr>
          <w:trHeight w:val="320"/>
          <w:jc w:val="center"/>
        </w:trPr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Linker Site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L217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</w:tr>
      <w:tr w:rsidR="007F0389" w:rsidRPr="007F0389">
        <w:trPr>
          <w:trHeight w:val="320"/>
          <w:jc w:val="center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T220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7F0389" w:rsidRPr="007F0389">
        <w:trPr>
          <w:trHeight w:val="300"/>
          <w:jc w:val="center"/>
        </w:trPr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Residue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proofErr w:type="gram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</w:t>
            </w:r>
            <w:proofErr w:type="gram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proofErr w:type="gramEnd"/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proofErr w:type="gramEnd"/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I223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7F0389" w:rsidRPr="007F038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L133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F224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</w:tr>
      <w:tr w:rsidR="007F0389" w:rsidRPr="007F0389">
        <w:trPr>
          <w:trHeight w:val="32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A136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L226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91</w:t>
            </w:r>
          </w:p>
        </w:tc>
      </w:tr>
      <w:tr w:rsidR="007F0389" w:rsidRPr="007F0389">
        <w:trPr>
          <w:trHeight w:val="32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L137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389" w:rsidRPr="007F0389">
        <w:trPr>
          <w:trHeight w:val="32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I147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Key:</w:t>
            </w:r>
          </w:p>
        </w:tc>
        <w:tc>
          <w:tcPr>
            <w:tcW w:w="253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A9694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&lt;10% occupancy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389" w:rsidRPr="007F0389">
        <w:trPr>
          <w:trHeight w:val="30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N225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CD5B4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40-80% occupancy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389" w:rsidRPr="007F0389">
        <w:trPr>
          <w:trHeight w:val="320"/>
          <w:jc w:val="center"/>
        </w:trPr>
        <w:tc>
          <w:tcPr>
            <w:tcW w:w="16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N234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9694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&gt; 80% occupancy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F0389" w:rsidRPr="007F0389">
        <w:trPr>
          <w:trHeight w:val="320"/>
          <w:jc w:val="center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389" w:rsidRPr="007F0389" w:rsidRDefault="007F0389" w:rsidP="007F038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F0389" w:rsidRPr="007F0389">
        <w:trPr>
          <w:trHeight w:val="1681"/>
          <w:jc w:val="center"/>
        </w:trPr>
        <w:tc>
          <w:tcPr>
            <w:tcW w:w="9961" w:type="dxa"/>
            <w:gridSpan w:val="11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F0389" w:rsidRPr="007F0389" w:rsidRDefault="007F0389" w:rsidP="007F038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F0389">
              <w:rPr>
                <w:rFonts w:ascii="Times New Roman" w:eastAsia="Times New Roman" w:hAnsi="Times New Roman" w:cs="Times New Roman"/>
                <w:color w:val="000000"/>
              </w:rPr>
              <w:t xml:space="preserve">Numbers shown here are the percent of frames in which isoflurane was within 5A of each residue listed, </w:t>
            </w:r>
            <w:proofErr w:type="gramStart"/>
            <w:r w:rsidRPr="007F0389">
              <w:rPr>
                <w:rFonts w:ascii="Times New Roman" w:eastAsia="Times New Roman" w:hAnsi="Times New Roman" w:cs="Times New Roman"/>
                <w:color w:val="000000"/>
              </w:rPr>
              <w:t>color coding</w:t>
            </w:r>
            <w:proofErr w:type="gramEnd"/>
            <w:r w:rsidRPr="007F0389">
              <w:rPr>
                <w:rFonts w:ascii="Times New Roman" w:eastAsia="Times New Roman" w:hAnsi="Times New Roman" w:cs="Times New Roman"/>
                <w:color w:val="000000"/>
              </w:rPr>
              <w:t xml:space="preserve"> sorts residues by non-interacting (red), possibly interacting (orange) and likely-interacting (green) based on persistence of isoflurane proximity (s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ee key). To estimate the persis</w:t>
            </w:r>
            <w:r w:rsidRPr="007F0389">
              <w:rPr>
                <w:rFonts w:ascii="Times New Roman" w:eastAsia="Times New Roman" w:hAnsi="Times New Roman" w:cs="Times New Roman"/>
                <w:color w:val="000000"/>
              </w:rPr>
              <w:t xml:space="preserve">tence of isoflurane proximity to residues that make up each site, we selected residues that were within 5A of the protein during </w:t>
            </w:r>
            <w:r w:rsidRPr="007F038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any</w:t>
            </w:r>
            <w:r w:rsidRPr="007F0389">
              <w:rPr>
                <w:rFonts w:ascii="Times New Roman" w:eastAsia="Times New Roman" w:hAnsi="Times New Roman" w:cs="Times New Roman"/>
                <w:color w:val="000000"/>
              </w:rPr>
              <w:t xml:space="preserve"> frame and then 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7F0389">
              <w:rPr>
                <w:rFonts w:ascii="Times New Roman" w:eastAsia="Times New Roman" w:hAnsi="Times New Roman" w:cs="Times New Roman"/>
                <w:color w:val="000000"/>
              </w:rPr>
              <w:t xml:space="preserve">ked whether they were within 5A for </w:t>
            </w:r>
            <w:r w:rsidRPr="007F038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each </w:t>
            </w:r>
            <w:r w:rsidRPr="007F0389">
              <w:rPr>
                <w:rFonts w:ascii="Times New Roman" w:eastAsia="Times New Roman" w:hAnsi="Times New Roman" w:cs="Times New Roman"/>
                <w:color w:val="000000"/>
              </w:rPr>
              <w:t>frame over the last 250 ns of trajectory. This was done separately for each subunit (a-d) to account for asymmetry.</w:t>
            </w:r>
          </w:p>
        </w:tc>
      </w:tr>
    </w:tbl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0B2DC2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  <w:b/>
        </w:rPr>
      </w:pPr>
    </w:p>
    <w:p w:rsidR="0097041B" w:rsidRPr="0097041B" w:rsidRDefault="0097041B" w:rsidP="00C76DED">
      <w:pPr>
        <w:rPr>
          <w:rFonts w:ascii="Times New Roman" w:hAnsi="Times New Roman" w:cs="Times New Roman"/>
        </w:rPr>
      </w:pPr>
    </w:p>
    <w:p w:rsidR="0097041B" w:rsidRPr="0097041B" w:rsidRDefault="0097041B" w:rsidP="00C76DED">
      <w:pPr>
        <w:rPr>
          <w:rFonts w:ascii="Times New Roman" w:hAnsi="Times New Roman" w:cs="Times New Roman"/>
        </w:rPr>
      </w:pPr>
    </w:p>
    <w:sectPr w:rsidR="0097041B" w:rsidRPr="0097041B" w:rsidSect="008672A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891A6A"/>
    <w:rsid w:val="00016CC7"/>
    <w:rsid w:val="000B2DC2"/>
    <w:rsid w:val="000E78F5"/>
    <w:rsid w:val="00167FDA"/>
    <w:rsid w:val="00171F9A"/>
    <w:rsid w:val="001731C0"/>
    <w:rsid w:val="00175411"/>
    <w:rsid w:val="0028627D"/>
    <w:rsid w:val="002959E8"/>
    <w:rsid w:val="003202F8"/>
    <w:rsid w:val="00364602"/>
    <w:rsid w:val="00433F42"/>
    <w:rsid w:val="00564E42"/>
    <w:rsid w:val="006553C1"/>
    <w:rsid w:val="006B731D"/>
    <w:rsid w:val="00781DE7"/>
    <w:rsid w:val="007C249E"/>
    <w:rsid w:val="007F0389"/>
    <w:rsid w:val="008304CD"/>
    <w:rsid w:val="008672AE"/>
    <w:rsid w:val="008853FC"/>
    <w:rsid w:val="00891A6A"/>
    <w:rsid w:val="008C39CB"/>
    <w:rsid w:val="00900727"/>
    <w:rsid w:val="00952454"/>
    <w:rsid w:val="0097041B"/>
    <w:rsid w:val="00A00E62"/>
    <w:rsid w:val="00A05C63"/>
    <w:rsid w:val="00AB08C4"/>
    <w:rsid w:val="00AD31D1"/>
    <w:rsid w:val="00B10ACA"/>
    <w:rsid w:val="00BB11C8"/>
    <w:rsid w:val="00BD3B01"/>
    <w:rsid w:val="00BE55D9"/>
    <w:rsid w:val="00C76DED"/>
    <w:rsid w:val="00D82778"/>
    <w:rsid w:val="00D83560"/>
    <w:rsid w:val="00DD2B32"/>
    <w:rsid w:val="00E1559E"/>
    <w:rsid w:val="00E51F6B"/>
    <w:rsid w:val="00E95662"/>
    <w:rsid w:val="00ED1EC4"/>
    <w:rsid w:val="00F87EC1"/>
    <w:rsid w:val="00FE2947"/>
    <w:rsid w:val="00FF2F08"/>
  </w:rsids>
  <m:mathPr>
    <m:mathFont m:val="MS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D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E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BB11C8"/>
    <w:pPr>
      <w:tabs>
        <w:tab w:val="left" w:pos="709"/>
      </w:tabs>
      <w:suppressAutoHyphens/>
    </w:pPr>
    <w:rPr>
      <w:rFonts w:ascii="Cambria" w:eastAsia="Times New Roman" w:hAnsi="Cambria" w:cs="Times New Roman"/>
      <w:lang w:eastAsia="en-US"/>
    </w:rPr>
  </w:style>
  <w:style w:type="paragraph" w:customStyle="1" w:styleId="Default">
    <w:name w:val="Default"/>
    <w:rsid w:val="00BB11C8"/>
    <w:pPr>
      <w:tabs>
        <w:tab w:val="left" w:pos="709"/>
      </w:tabs>
      <w:suppressAutoHyphens/>
    </w:pPr>
    <w:rPr>
      <w:rFonts w:ascii="Cambria" w:eastAsia="Times New Roman" w:hAnsi="Cambria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D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DE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BB11C8"/>
    <w:pPr>
      <w:tabs>
        <w:tab w:val="left" w:pos="709"/>
      </w:tabs>
      <w:suppressAutoHyphens/>
    </w:pPr>
    <w:rPr>
      <w:rFonts w:ascii="Cambria" w:eastAsia="Times New Roman" w:hAnsi="Cambria" w:cs="Times New Roman"/>
      <w:lang w:eastAsia="en-US"/>
    </w:rPr>
  </w:style>
  <w:style w:type="paragraph" w:customStyle="1" w:styleId="Default">
    <w:name w:val="Default"/>
    <w:rsid w:val="00BB11C8"/>
    <w:pPr>
      <w:tabs>
        <w:tab w:val="left" w:pos="709"/>
      </w:tabs>
      <w:suppressAutoHyphens/>
    </w:pPr>
    <w:rPr>
      <w:rFonts w:ascii="Cambria" w:eastAsia="Times New Roman" w:hAnsi="Cambria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388</Words>
  <Characters>2212</Characters>
  <Application>Microsoft Word 12.1.0</Application>
  <DocSecurity>0</DocSecurity>
  <Lines>18</Lines>
  <Paragraphs>4</Paragraphs>
  <ScaleCrop>false</ScaleCrop>
  <Company>Thomas Jefferson University</Company>
  <LinksUpToDate>false</LinksUpToDate>
  <CharactersWithSpaces>2716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Barber</dc:creator>
  <cp:keywords/>
  <dc:description/>
  <cp:lastModifiedBy>Vic C</cp:lastModifiedBy>
  <cp:revision>14</cp:revision>
  <dcterms:created xsi:type="dcterms:W3CDTF">2013-03-01T16:43:00Z</dcterms:created>
  <dcterms:modified xsi:type="dcterms:W3CDTF">2013-04-09T18:58:00Z</dcterms:modified>
</cp:coreProperties>
</file>