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F5" w:rsidRPr="001D3502" w:rsidRDefault="001E65F5" w:rsidP="001E65F5">
      <w:pPr>
        <w:rPr>
          <w:rFonts w:ascii="Arial" w:hAnsi="Arial" w:cs="Arial"/>
          <w:sz w:val="22"/>
          <w:szCs w:val="22"/>
          <w:lang w:val="en-GB"/>
        </w:rPr>
      </w:pPr>
      <w:r w:rsidRPr="001D3502">
        <w:rPr>
          <w:rFonts w:ascii="Arial" w:hAnsi="Arial" w:cs="Arial"/>
          <w:sz w:val="22"/>
          <w:szCs w:val="22"/>
          <w:lang w:val="en-GB"/>
        </w:rPr>
        <w:t xml:space="preserve">Supplementary Table </w:t>
      </w:r>
      <w:r>
        <w:rPr>
          <w:rFonts w:ascii="Arial" w:hAnsi="Arial" w:cs="Arial"/>
          <w:sz w:val="22"/>
          <w:szCs w:val="22"/>
          <w:lang w:val="en-GB"/>
        </w:rPr>
        <w:t>S2</w:t>
      </w:r>
      <w:r w:rsidRPr="001D3502">
        <w:rPr>
          <w:rFonts w:ascii="Arial" w:hAnsi="Arial" w:cs="Arial"/>
          <w:sz w:val="22"/>
          <w:szCs w:val="22"/>
          <w:lang w:val="en-GB"/>
        </w:rPr>
        <w:t>:</w:t>
      </w:r>
    </w:p>
    <w:p w:rsidR="001E65F5" w:rsidRPr="001D3502" w:rsidRDefault="001E65F5" w:rsidP="001E65F5">
      <w:pPr>
        <w:rPr>
          <w:lang w:val="en-GB"/>
        </w:rPr>
      </w:pPr>
    </w:p>
    <w:p w:rsidR="001E65F5" w:rsidRPr="001D3502" w:rsidRDefault="001E65F5" w:rsidP="001E65F5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1843"/>
        <w:gridCol w:w="1843"/>
        <w:gridCol w:w="1701"/>
        <w:gridCol w:w="1829"/>
        <w:gridCol w:w="1006"/>
        <w:gridCol w:w="1419"/>
      </w:tblGrid>
      <w:tr w:rsidR="001E65F5" w:rsidRPr="001D3502" w:rsidTr="00AA3783">
        <w:tc>
          <w:tcPr>
            <w:tcW w:w="144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F5725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Hodgkin </w:t>
            </w:r>
            <w:r w:rsidR="00F5725B">
              <w:rPr>
                <w:rFonts w:ascii="Arial" w:hAnsi="Arial" w:cs="Arial"/>
                <w:b/>
                <w:sz w:val="20"/>
                <w:szCs w:val="20"/>
                <w:lang w:val="en-GB"/>
              </w:rPr>
              <w:t>i</w:t>
            </w:r>
            <w:bookmarkStart w:id="0" w:name="_GoBack"/>
            <w:bookmarkEnd w:id="0"/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ndices computed for the pairwise quantitative PIPSA comparison of the electrostatic potentials at the allosteric site of the PYKs</w:t>
            </w:r>
            <w:r w:rsidRPr="00D71DAC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1E65F5" w:rsidRPr="001D3502" w:rsidTr="00AA3783"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Chimeric template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1PKY_D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L. plantarum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S. pyogenes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S. mutans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E. faecalis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006" w:type="dxa"/>
            <w:tcBorders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1A3W_A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L. lactis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</w:tr>
      <w:tr w:rsidR="001E65F5" w:rsidRPr="001D3502" w:rsidTr="00AA3783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Chimeric template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0.992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-0.787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-0.876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-0.354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-0.419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0.616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-0.882</w:t>
            </w:r>
          </w:p>
        </w:tc>
      </w:tr>
      <w:tr w:rsidR="001E65F5" w:rsidRPr="001D3502" w:rsidTr="00AA37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1PYK_D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-0.756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-0.274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-0.482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0.671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-0.898</w:t>
            </w:r>
          </w:p>
        </w:tc>
      </w:tr>
      <w:tr w:rsidR="001E65F5" w:rsidRPr="001D3502" w:rsidTr="00AA37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L. plantarum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-0.756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0.369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0.521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-0.685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0.928</w:t>
            </w:r>
          </w:p>
        </w:tc>
      </w:tr>
      <w:tr w:rsidR="001E65F5" w:rsidRPr="001D3502" w:rsidTr="00AA37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S. pyogenes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-0.876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-0.903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0.875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0.593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0.681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-0.420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0.987</w:t>
            </w:r>
          </w:p>
        </w:tc>
      </w:tr>
      <w:tr w:rsidR="001E65F5" w:rsidRPr="001D3502" w:rsidTr="00AA37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S. mutans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-0.274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0.369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0.651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-0.043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0.524</w:t>
            </w:r>
          </w:p>
        </w:tc>
      </w:tr>
      <w:tr w:rsidR="001E65F5" w:rsidRPr="001D3502" w:rsidTr="00AA37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E. faecalis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-0.482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0.521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0.681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0.651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-0.134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0.584</w:t>
            </w:r>
          </w:p>
        </w:tc>
      </w:tr>
      <w:tr w:rsidR="001E65F5" w:rsidRPr="001D3502" w:rsidTr="00AA378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1A3W_A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0.671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-0.685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-0.420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-0.043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-0.134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-0.491</w:t>
            </w:r>
          </w:p>
        </w:tc>
      </w:tr>
      <w:tr w:rsidR="001E65F5" w:rsidRPr="001D3502" w:rsidTr="00AA3783"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1E65F5" w:rsidRPr="00D71DAC" w:rsidRDefault="001E65F5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L. lactis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PYK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-0.882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-0.898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0.928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0.987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0.524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0.584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-0.491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:rsidR="001E65F5" w:rsidRPr="00D71DAC" w:rsidRDefault="001E65F5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1.000</w:t>
            </w:r>
          </w:p>
        </w:tc>
      </w:tr>
    </w:tbl>
    <w:p w:rsidR="001E65F5" w:rsidRPr="008B6F6C" w:rsidRDefault="001E65F5" w:rsidP="001E65F5">
      <w:pPr>
        <w:rPr>
          <w:rFonts w:ascii="Arial" w:hAnsi="Arial" w:cs="Arial"/>
          <w:sz w:val="22"/>
          <w:szCs w:val="22"/>
          <w:lang w:val="en-GB"/>
        </w:rPr>
      </w:pPr>
      <w:r w:rsidRPr="00D71DAC">
        <w:rPr>
          <w:rFonts w:ascii="Arial" w:hAnsi="Arial" w:cs="Arial"/>
          <w:sz w:val="22"/>
          <w:szCs w:val="22"/>
          <w:lang w:val="en-GB"/>
        </w:rPr>
        <w:t>*</w:t>
      </w:r>
      <w:r w:rsidRPr="00A04431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D71DAC">
        <w:rPr>
          <w:rFonts w:ascii="Arial" w:hAnsi="Arial" w:cs="Arial"/>
          <w:sz w:val="16"/>
          <w:szCs w:val="16"/>
          <w:lang w:val="en-GB"/>
        </w:rPr>
        <w:t>Values of the pairwise Hodgkin indices vary between 1.0, indicating identical electrostatic potentials in the region compared, and -1.0 indicating opposite potentials.</w:t>
      </w:r>
    </w:p>
    <w:p w:rsidR="001E65F5" w:rsidRDefault="001E65F5" w:rsidP="001E65F5">
      <w:pPr>
        <w:rPr>
          <w:lang w:val="en-GB"/>
        </w:rPr>
      </w:pPr>
    </w:p>
    <w:p w:rsidR="00FE4B58" w:rsidRPr="001E65F5" w:rsidRDefault="00FE4B58">
      <w:pPr>
        <w:rPr>
          <w:lang w:val="en-GB"/>
        </w:rPr>
      </w:pPr>
    </w:p>
    <w:sectPr w:rsidR="00FE4B58" w:rsidRPr="001E65F5" w:rsidSect="001E65F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F5"/>
    <w:rsid w:val="001E65F5"/>
    <w:rsid w:val="009269D7"/>
    <w:rsid w:val="00AD5FC2"/>
    <w:rsid w:val="00F5725B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5F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5F5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5F5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5F5"/>
    <w:pPr>
      <w:spacing w:after="0" w:line="240" w:lineRule="auto"/>
    </w:pPr>
    <w:rPr>
      <w:rFonts w:ascii="Calibri" w:eastAsia="Calibri" w:hAnsi="Calibri" w:cs="Times New Roman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2013-02-22T08:35:00Z</dcterms:created>
  <dcterms:modified xsi:type="dcterms:W3CDTF">2013-06-20T07:46:00Z</dcterms:modified>
</cp:coreProperties>
</file>