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7B" w:rsidRPr="00B64F87" w:rsidRDefault="003C187B" w:rsidP="00CA0729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64F87">
        <w:rPr>
          <w:rFonts w:ascii="Arial" w:hAnsi="Arial" w:cs="Arial"/>
          <w:b/>
          <w:bCs/>
          <w:sz w:val="22"/>
          <w:szCs w:val="22"/>
          <w:lang w:val="en-GB"/>
        </w:rPr>
        <w:t>Supplementary Table 2</w:t>
      </w:r>
    </w:p>
    <w:p w:rsidR="003C187B" w:rsidRPr="00B64F87" w:rsidRDefault="003C187B" w:rsidP="00CA0729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64F87">
        <w:rPr>
          <w:rFonts w:ascii="Arial" w:hAnsi="Arial" w:cs="Arial"/>
          <w:b/>
          <w:bCs/>
          <w:sz w:val="22"/>
          <w:szCs w:val="22"/>
          <w:lang w:val="en-GB"/>
        </w:rPr>
        <w:t xml:space="preserve">Examination of possible confounding factors of codon usage analysis: relative frame of </w:t>
      </w:r>
      <w:r w:rsidRPr="00B64F87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de novo </w:t>
      </w:r>
      <w:r w:rsidRPr="00B64F87">
        <w:rPr>
          <w:rFonts w:ascii="Arial" w:hAnsi="Arial" w:cs="Arial"/>
          <w:b/>
          <w:bCs/>
          <w:sz w:val="22"/>
          <w:szCs w:val="22"/>
          <w:lang w:val="en-GB"/>
        </w:rPr>
        <w:t>genes compared to ancestral genes, and relative age of de novo frames.</w:t>
      </w:r>
    </w:p>
    <w:p w:rsidR="003C187B" w:rsidRDefault="003C187B" w:rsidP="00120D74">
      <w:pPr>
        <w:pStyle w:val="PlainText"/>
        <w:rPr>
          <w:rFonts w:ascii="Arial" w:hAnsi="Arial" w:cs="Arial"/>
          <w:sz w:val="14"/>
          <w:szCs w:val="14"/>
          <w:lang w:val="en-GB"/>
        </w:rPr>
      </w:pPr>
    </w:p>
    <w:p w:rsidR="003C187B" w:rsidRDefault="003C187B" w:rsidP="00120D74">
      <w:pPr>
        <w:pStyle w:val="PlainText"/>
        <w:rPr>
          <w:rFonts w:ascii="Arial" w:hAnsi="Arial" w:cs="Arial"/>
          <w:sz w:val="14"/>
          <w:szCs w:val="14"/>
          <w:lang w:val="en-GB"/>
        </w:rPr>
      </w:pPr>
    </w:p>
    <w:tbl>
      <w:tblPr>
        <w:tblW w:w="8860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915"/>
        <w:gridCol w:w="1134"/>
        <w:gridCol w:w="1418"/>
        <w:gridCol w:w="850"/>
        <w:gridCol w:w="992"/>
        <w:gridCol w:w="2551"/>
      </w:tblGrid>
      <w:tr w:rsidR="003C187B" w:rsidRPr="00AC3C25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Genus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945">
              <w:rPr>
                <w:rFonts w:ascii="Arial" w:hAnsi="Arial" w:cs="Arial"/>
                <w:sz w:val="20"/>
                <w:szCs w:val="20"/>
                <w:lang w:val="en-GB"/>
              </w:rPr>
              <w:t>Ancestral frame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91494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 novo frame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945">
              <w:rPr>
                <w:rFonts w:ascii="Arial" w:hAnsi="Arial" w:cs="Arial"/>
                <w:sz w:val="20"/>
                <w:szCs w:val="20"/>
                <w:lang w:val="en-GB"/>
              </w:rPr>
              <w:t>P&lt;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Relative frame</w:t>
            </w:r>
          </w:p>
        </w:tc>
        <w:tc>
          <w:tcPr>
            <w:tcW w:w="2551" w:type="dxa"/>
          </w:tcPr>
          <w:p w:rsidR="003C187B" w:rsidRPr="00B64F87" w:rsidRDefault="003C187B" w:rsidP="00191CFD">
            <w:pPr>
              <w:ind w:right="-10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4F87">
              <w:rPr>
                <w:rFonts w:ascii="Arial" w:hAnsi="Arial" w:cs="Arial"/>
                <w:sz w:val="20"/>
                <w:szCs w:val="20"/>
                <w:lang w:val="en-GB"/>
              </w:rPr>
              <w:t>“relative age” of novel frame according to taxonomic distribution</w:t>
            </w:r>
            <w:r w:rsidRPr="00B64F8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(1)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Noro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Capsid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VF1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945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992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Omegatetra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Capsid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p17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4945">
              <w:rPr>
                <w:rFonts w:ascii="Arial" w:hAnsi="Arial" w:cs="Arial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992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Dependo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VP2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AAP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92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Carmo </w:t>
            </w:r>
            <w:r w:rsidRPr="00CA0729">
              <w:rPr>
                <w:rFonts w:ascii="Arial" w:hAnsi="Arial" w:cs="Arial"/>
                <w:sz w:val="20"/>
                <w:szCs w:val="20"/>
              </w:rPr>
              <w:t>(replicase/p23)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Replicase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p23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92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Luteo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Tymo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Replicase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Aquabirna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VP2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VP5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Capillo 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Replicase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Mandari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Capsid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NABP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not applicable</w:t>
            </w:r>
            <w:r w:rsidRPr="00CA0729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Carmo </w:t>
            </w:r>
            <w:r w:rsidRPr="00CA0729">
              <w:rPr>
                <w:rFonts w:ascii="Arial" w:hAnsi="Arial" w:cs="Arial"/>
                <w:sz w:val="20"/>
                <w:szCs w:val="20"/>
              </w:rPr>
              <w:t>(capsid/p25)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Capsid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Betatetra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Capsid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Replicase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not applicable</w:t>
            </w:r>
            <w:r w:rsidRPr="00CA0729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Gyro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VP2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Apoptin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Potex</w:t>
            </w:r>
          </w:p>
        </w:tc>
        <w:tc>
          <w:tcPr>
            <w:tcW w:w="1134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TGBp2</w:t>
            </w:r>
          </w:p>
        </w:tc>
        <w:tc>
          <w:tcPr>
            <w:tcW w:w="1418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TGBp3</w:t>
            </w:r>
          </w:p>
        </w:tc>
        <w:tc>
          <w:tcPr>
            <w:tcW w:w="850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</w:tr>
      <w:tr w:rsidR="003C187B" w:rsidRPr="00CA0729">
        <w:trPr>
          <w:trHeight w:val="56"/>
        </w:trPr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Parvo</w:t>
            </w:r>
          </w:p>
        </w:tc>
        <w:tc>
          <w:tcPr>
            <w:tcW w:w="1134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VP2</w:t>
            </w:r>
          </w:p>
        </w:tc>
        <w:tc>
          <w:tcPr>
            <w:tcW w:w="1418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rPr>
          <w:trHeight w:val="56"/>
        </w:trPr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Begomo</w:t>
            </w:r>
          </w:p>
        </w:tc>
        <w:tc>
          <w:tcPr>
            <w:tcW w:w="1134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Replicase</w:t>
            </w:r>
          </w:p>
        </w:tc>
        <w:tc>
          <w:tcPr>
            <w:tcW w:w="1418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AC4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Orthobunya</w:t>
            </w:r>
          </w:p>
        </w:tc>
        <w:tc>
          <w:tcPr>
            <w:tcW w:w="1134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Tombus</w:t>
            </w:r>
          </w:p>
        </w:tc>
        <w:tc>
          <w:tcPr>
            <w:tcW w:w="1134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p22</w:t>
            </w:r>
          </w:p>
        </w:tc>
        <w:tc>
          <w:tcPr>
            <w:tcW w:w="1418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p19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Denso</w:t>
            </w:r>
          </w:p>
        </w:tc>
        <w:tc>
          <w:tcPr>
            <w:tcW w:w="1134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NS1</w:t>
            </w:r>
          </w:p>
        </w:tc>
        <w:tc>
          <w:tcPr>
            <w:tcW w:w="1418" w:type="dxa"/>
          </w:tcPr>
          <w:p w:rsidR="003C187B" w:rsidRPr="00462EDA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462EDA">
              <w:rPr>
                <w:rFonts w:ascii="Arial" w:hAnsi="Arial" w:cs="Arial"/>
                <w:sz w:val="20"/>
                <w:szCs w:val="20"/>
              </w:rPr>
              <w:t>NS2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Apara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Capsid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Orthohepadna</w:t>
            </w:r>
            <w:r w:rsidRPr="00CA0729">
              <w:rPr>
                <w:rFonts w:ascii="Arial" w:hAnsi="Arial" w:cs="Arial"/>
                <w:sz w:val="20"/>
                <w:szCs w:val="20"/>
              </w:rPr>
              <w:t xml:space="preserve"> (pol/L)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Umbra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ORF4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ORF3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Hordei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TGBp2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TGBp3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Old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Orthohepadna </w:t>
            </w:r>
            <w:r w:rsidRPr="00CA0729">
              <w:rPr>
                <w:rFonts w:ascii="Arial" w:hAnsi="Arial" w:cs="Arial"/>
                <w:sz w:val="20"/>
                <w:szCs w:val="20"/>
              </w:rPr>
              <w:t>(pol/X)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Brevidenso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NS1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NS2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  <w:tr w:rsidR="003C187B" w:rsidRPr="00CA0729">
        <w:tc>
          <w:tcPr>
            <w:tcW w:w="1915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0729">
              <w:rPr>
                <w:rFonts w:ascii="Arial" w:hAnsi="Arial" w:cs="Arial"/>
                <w:i/>
                <w:iCs/>
                <w:sz w:val="20"/>
                <w:szCs w:val="20"/>
              </w:rPr>
              <w:t>Tricho</w:t>
            </w:r>
          </w:p>
        </w:tc>
        <w:tc>
          <w:tcPr>
            <w:tcW w:w="1134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Capsid</w:t>
            </w:r>
          </w:p>
        </w:tc>
        <w:tc>
          <w:tcPr>
            <w:tcW w:w="1418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C187B" w:rsidRPr="00914945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14945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551" w:type="dxa"/>
          </w:tcPr>
          <w:p w:rsidR="003C187B" w:rsidRPr="00CA0729" w:rsidRDefault="003C187B" w:rsidP="00191CFD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A0729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</w:tr>
    </w:tbl>
    <w:p w:rsidR="003C187B" w:rsidRPr="00A8477E" w:rsidRDefault="003C187B" w:rsidP="00120D74">
      <w:pPr>
        <w:pStyle w:val="PlainText"/>
        <w:rPr>
          <w:rFonts w:ascii="Arial" w:hAnsi="Arial" w:cs="Arial"/>
          <w:sz w:val="14"/>
          <w:szCs w:val="14"/>
          <w:lang w:val="en-GB"/>
        </w:rPr>
      </w:pPr>
    </w:p>
    <w:p w:rsidR="003C187B" w:rsidRPr="00CA0729" w:rsidRDefault="003C187B" w:rsidP="00CA0729">
      <w:pPr>
        <w:pStyle w:val="PlainText"/>
        <w:spacing w:line="360" w:lineRule="auto"/>
        <w:rPr>
          <w:sz w:val="22"/>
          <w:szCs w:val="22"/>
          <w:lang w:val="en-GB"/>
        </w:rPr>
      </w:pPr>
    </w:p>
    <w:p w:rsidR="003C187B" w:rsidRPr="00B64F87" w:rsidRDefault="003C187B" w:rsidP="00CA0729">
      <w:pPr>
        <w:pStyle w:val="PlainText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64F87">
        <w:rPr>
          <w:rFonts w:ascii="Arial" w:hAnsi="Arial" w:cs="Arial"/>
          <w:sz w:val="22"/>
          <w:szCs w:val="22"/>
          <w:lang w:val="en-GB"/>
        </w:rPr>
        <w:t xml:space="preserve">(1): We used taxonomic distribution as a very approximate, empirical proxy to estimate comparative ages of the overlaps. </w:t>
      </w:r>
      <w:r w:rsidRPr="00B64F87">
        <w:rPr>
          <w:rFonts w:ascii="Arial" w:hAnsi="Arial" w:cs="Arial"/>
          <w:i/>
          <w:iCs/>
          <w:sz w:val="22"/>
          <w:szCs w:val="22"/>
          <w:lang w:val="en-GB"/>
        </w:rPr>
        <w:t xml:space="preserve">De novo </w:t>
      </w:r>
      <w:r w:rsidRPr="00B64F87">
        <w:rPr>
          <w:rFonts w:ascii="Arial" w:hAnsi="Arial" w:cs="Arial"/>
          <w:sz w:val="22"/>
          <w:szCs w:val="22"/>
          <w:lang w:val="en-GB"/>
        </w:rPr>
        <w:t>frames found only in one species are considered “young” (provided there are several species in the genus considered, see note 2 below); overlaps found in more than one species but less tha</w:t>
      </w:r>
      <w:r w:rsidR="002B5412">
        <w:rPr>
          <w:rFonts w:ascii="Arial" w:hAnsi="Arial" w:cs="Arial"/>
          <w:sz w:val="22"/>
          <w:szCs w:val="22"/>
          <w:lang w:val="en-GB"/>
        </w:rPr>
        <w:t>n one genus are considered of “i</w:t>
      </w:r>
      <w:r w:rsidRPr="00B64F87">
        <w:rPr>
          <w:rFonts w:ascii="Arial" w:hAnsi="Arial" w:cs="Arial"/>
          <w:sz w:val="22"/>
          <w:szCs w:val="22"/>
          <w:lang w:val="en-GB"/>
        </w:rPr>
        <w:t xml:space="preserve">ntermediate” age, and overlaps found in more than one genus are considered “old”. The taxonomic distribution of </w:t>
      </w:r>
      <w:r w:rsidRPr="00B64F87">
        <w:rPr>
          <w:rFonts w:ascii="Arial" w:hAnsi="Arial" w:cs="Arial"/>
          <w:i/>
          <w:iCs/>
          <w:sz w:val="22"/>
          <w:szCs w:val="22"/>
          <w:lang w:val="en-GB"/>
        </w:rPr>
        <w:t>de novo</w:t>
      </w:r>
      <w:r w:rsidRPr="00B64F87">
        <w:rPr>
          <w:rFonts w:ascii="Arial" w:hAnsi="Arial" w:cs="Arial"/>
          <w:sz w:val="22"/>
          <w:szCs w:val="22"/>
          <w:lang w:val="en-GB"/>
        </w:rPr>
        <w:t xml:space="preserve"> frames is taken from Supplementary Table S1</w:t>
      </w:r>
    </w:p>
    <w:p w:rsidR="003C187B" w:rsidRPr="00B64F87" w:rsidRDefault="003C187B" w:rsidP="00CA0729">
      <w:pPr>
        <w:pStyle w:val="PlainText"/>
        <w:spacing w:line="360" w:lineRule="auto"/>
        <w:rPr>
          <w:rFonts w:ascii="Arial" w:hAnsi="Arial" w:cs="Arial"/>
          <w:sz w:val="22"/>
          <w:szCs w:val="22"/>
          <w:vertAlign w:val="superscript"/>
          <w:lang w:val="en-GB"/>
        </w:rPr>
      </w:pPr>
    </w:p>
    <w:p w:rsidR="003C187B" w:rsidRPr="00CA0729" w:rsidRDefault="003C187B" w:rsidP="00CA0729">
      <w:pPr>
        <w:pStyle w:val="PlainText"/>
        <w:spacing w:line="360" w:lineRule="auto"/>
        <w:rPr>
          <w:sz w:val="22"/>
          <w:szCs w:val="22"/>
          <w:lang w:val="en-GB"/>
        </w:rPr>
      </w:pPr>
      <w:r w:rsidRPr="00B64F87">
        <w:rPr>
          <w:rFonts w:ascii="Arial" w:hAnsi="Arial" w:cs="Arial"/>
          <w:sz w:val="22"/>
          <w:szCs w:val="22"/>
          <w:lang w:val="en-GB"/>
        </w:rPr>
        <w:t xml:space="preserve">(2): We excluded cases where there was insufficient taxonomic sampling, such as the </w:t>
      </w:r>
      <w:proofErr w:type="spellStart"/>
      <w:r w:rsidRPr="00B64F87">
        <w:rPr>
          <w:rFonts w:ascii="Arial" w:hAnsi="Arial" w:cs="Arial"/>
          <w:i/>
          <w:iCs/>
          <w:sz w:val="22"/>
          <w:szCs w:val="22"/>
          <w:lang w:val="en-GB"/>
        </w:rPr>
        <w:t>betatetravirus</w:t>
      </w:r>
      <w:proofErr w:type="spellEnd"/>
      <w:r w:rsidRPr="00B64F87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B64F87">
        <w:rPr>
          <w:rFonts w:ascii="Arial" w:hAnsi="Arial" w:cs="Arial"/>
          <w:sz w:val="22"/>
          <w:szCs w:val="22"/>
          <w:lang w:val="en-GB"/>
        </w:rPr>
        <w:t xml:space="preserve">overlap, since the </w:t>
      </w:r>
      <w:proofErr w:type="spellStart"/>
      <w:r w:rsidRPr="00B64F87">
        <w:rPr>
          <w:rFonts w:ascii="Arial" w:hAnsi="Arial" w:cs="Arial"/>
          <w:i/>
          <w:iCs/>
          <w:sz w:val="22"/>
          <w:szCs w:val="22"/>
          <w:lang w:val="en-GB"/>
        </w:rPr>
        <w:t>betatetravirus</w:t>
      </w:r>
      <w:proofErr w:type="spellEnd"/>
      <w:r w:rsidRPr="00B64F87">
        <w:rPr>
          <w:rFonts w:ascii="Arial" w:hAnsi="Arial" w:cs="Arial"/>
          <w:sz w:val="22"/>
          <w:szCs w:val="22"/>
          <w:lang w:val="en-GB"/>
        </w:rPr>
        <w:t xml:space="preserve"> genus comprises only ones species.</w:t>
      </w:r>
    </w:p>
    <w:p w:rsidR="003C187B" w:rsidRDefault="003C187B">
      <w:pPr>
        <w:rPr>
          <w:rFonts w:ascii="Courier New" w:hAnsi="Courier New" w:cs="Courier New"/>
          <w:sz w:val="14"/>
          <w:szCs w:val="14"/>
          <w:lang w:val="en-GB"/>
        </w:rPr>
      </w:pPr>
    </w:p>
    <w:p w:rsidR="003C187B" w:rsidRPr="00965BFB" w:rsidRDefault="003C187B" w:rsidP="00120D74">
      <w:pPr>
        <w:pStyle w:val="PlainText"/>
        <w:rPr>
          <w:sz w:val="18"/>
          <w:szCs w:val="18"/>
          <w:lang w:val="en-GB"/>
        </w:rPr>
      </w:pPr>
    </w:p>
    <w:p w:rsidR="003C187B" w:rsidRPr="00965BFB" w:rsidRDefault="003C187B" w:rsidP="00120D74">
      <w:pPr>
        <w:pStyle w:val="PlainText"/>
        <w:rPr>
          <w:sz w:val="18"/>
          <w:szCs w:val="18"/>
          <w:lang w:val="en-GB"/>
        </w:rPr>
      </w:pPr>
    </w:p>
    <w:sectPr w:rsidR="003C187B" w:rsidRPr="00965BFB" w:rsidSect="00120D74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DD8"/>
    <w:multiLevelType w:val="hybridMultilevel"/>
    <w:tmpl w:val="1D7EEAC2"/>
    <w:lvl w:ilvl="0" w:tplc="FE7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General Virology&lt;/Style&gt;&lt;LeftDelim&gt;{&lt;/LeftDelim&gt;&lt;RightDelim&gt;}&lt;/RightDelim&gt;&lt;FontName&gt;Courier Ne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d5af52r8w9a0wefstm5zwah2550epezvdsx&quot;&gt;Biblio Endnote David&lt;record-ids&gt;&lt;item&gt;2687&lt;/item&gt;&lt;/record-ids&gt;&lt;/item&gt;&lt;/Libraries&gt;"/>
  </w:docVars>
  <w:rsids>
    <w:rsidRoot w:val="00120D74"/>
    <w:rsid w:val="000F4A9C"/>
    <w:rsid w:val="00120D74"/>
    <w:rsid w:val="00191CFD"/>
    <w:rsid w:val="00217B8A"/>
    <w:rsid w:val="002529FF"/>
    <w:rsid w:val="002B2A61"/>
    <w:rsid w:val="002B5412"/>
    <w:rsid w:val="002D6639"/>
    <w:rsid w:val="003568EE"/>
    <w:rsid w:val="00382938"/>
    <w:rsid w:val="003C187B"/>
    <w:rsid w:val="00413912"/>
    <w:rsid w:val="00462EDA"/>
    <w:rsid w:val="004B0B73"/>
    <w:rsid w:val="00522711"/>
    <w:rsid w:val="00522B1A"/>
    <w:rsid w:val="00563666"/>
    <w:rsid w:val="005C4A39"/>
    <w:rsid w:val="00613E90"/>
    <w:rsid w:val="007450BD"/>
    <w:rsid w:val="00771BF7"/>
    <w:rsid w:val="007A19EF"/>
    <w:rsid w:val="007F49D3"/>
    <w:rsid w:val="00860C4E"/>
    <w:rsid w:val="00914945"/>
    <w:rsid w:val="00965BFB"/>
    <w:rsid w:val="00A15144"/>
    <w:rsid w:val="00A50BE8"/>
    <w:rsid w:val="00A8477E"/>
    <w:rsid w:val="00AC3C25"/>
    <w:rsid w:val="00B50F57"/>
    <w:rsid w:val="00B64F87"/>
    <w:rsid w:val="00C3705C"/>
    <w:rsid w:val="00C67031"/>
    <w:rsid w:val="00C7198B"/>
    <w:rsid w:val="00CA0729"/>
    <w:rsid w:val="00CE7863"/>
    <w:rsid w:val="00D54B94"/>
    <w:rsid w:val="00D901DB"/>
    <w:rsid w:val="00DA6C9C"/>
    <w:rsid w:val="00DA782B"/>
    <w:rsid w:val="00EA16C1"/>
    <w:rsid w:val="00EA3825"/>
    <w:rsid w:val="00ED7E24"/>
    <w:rsid w:val="00F0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20D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8293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A7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>Easycopy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NC_003608 Carmo            Replicase p23           40   672    41   672    1</dc:title>
  <dc:creator>Easycopy</dc:creator>
  <cp:lastModifiedBy>David</cp:lastModifiedBy>
  <cp:revision>3</cp:revision>
  <dcterms:created xsi:type="dcterms:W3CDTF">2013-04-17T12:34:00Z</dcterms:created>
  <dcterms:modified xsi:type="dcterms:W3CDTF">2013-07-13T02:56:00Z</dcterms:modified>
</cp:coreProperties>
</file>