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15" w:rsidRDefault="00A54915" w:rsidP="00A54915">
      <w:pPr>
        <w:jc w:val="center"/>
        <w:rPr>
          <w:rFonts w:ascii="Times New Roman" w:hAnsi="Times New Roman"/>
          <w:b/>
          <w:sz w:val="32"/>
        </w:rPr>
      </w:pPr>
    </w:p>
    <w:p w:rsidR="00A54915" w:rsidRPr="00836ED5" w:rsidRDefault="00060038" w:rsidP="00A54915">
      <w:pPr>
        <w:pStyle w:val="Heading2"/>
        <w:widowControl/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Text </w:t>
      </w:r>
      <w:r w:rsidR="00B70A33">
        <w:rPr>
          <w:noProof w:val="0"/>
          <w:sz w:val="28"/>
          <w:szCs w:val="28"/>
        </w:rPr>
        <w:t>S</w:t>
      </w:r>
      <w:r w:rsidR="00EE28F5">
        <w:rPr>
          <w:noProof w:val="0"/>
          <w:sz w:val="28"/>
          <w:szCs w:val="28"/>
        </w:rPr>
        <w:t xml:space="preserve">2. </w:t>
      </w:r>
      <w:r w:rsidR="00A54915" w:rsidRPr="00836ED5">
        <w:rPr>
          <w:noProof w:val="0"/>
          <w:sz w:val="28"/>
          <w:szCs w:val="28"/>
        </w:rPr>
        <w:t>From the cyclic Katz-Thesleff model to the two-gate model</w:t>
      </w:r>
    </w:p>
    <w:p w:rsidR="008E1945" w:rsidRDefault="008E1945" w:rsidP="008E1945">
      <w:pPr>
        <w:spacing w:line="360" w:lineRule="auto"/>
        <w:jc w:val="both"/>
        <w:rPr>
          <w:rFonts w:ascii="Times" w:hAnsi="Times"/>
          <w:lang w:val="en-GB"/>
        </w:rPr>
      </w:pPr>
      <w:r w:rsidRPr="003F3F26">
        <w:rPr>
          <w:rFonts w:ascii="Times" w:hAnsi="Times"/>
          <w:lang w:val="en-GB"/>
        </w:rPr>
        <w:t>We here explain in greater deta</w:t>
      </w:r>
      <w:r>
        <w:rPr>
          <w:rFonts w:ascii="Times" w:hAnsi="Times"/>
          <w:lang w:val="en-GB"/>
        </w:rPr>
        <w:t>il the</w:t>
      </w:r>
      <w:r w:rsidRPr="003F3F26">
        <w:rPr>
          <w:rFonts w:ascii="Times" w:hAnsi="Times"/>
          <w:lang w:val="en-GB"/>
        </w:rPr>
        <w:t xml:space="preserve"> relationship between the present two-gate model </w:t>
      </w:r>
      <w:r>
        <w:rPr>
          <w:rFonts w:ascii="Times" w:hAnsi="Times"/>
          <w:lang w:val="en-GB"/>
        </w:rPr>
        <w:t xml:space="preserve">for nAChRs, </w:t>
      </w:r>
      <w:r w:rsidRPr="003F3F26">
        <w:rPr>
          <w:rFonts w:ascii="Times" w:hAnsi="Times"/>
          <w:lang w:val="en-GB"/>
        </w:rPr>
        <w:t>and the cyclic Kat</w:t>
      </w:r>
      <w:r>
        <w:rPr>
          <w:rFonts w:ascii="Times" w:hAnsi="Times"/>
          <w:lang w:val="en-GB"/>
        </w:rPr>
        <w:t>z-Thesleff model from which it w</w:t>
      </w:r>
      <w:r w:rsidRPr="003F3F26">
        <w:rPr>
          <w:rFonts w:ascii="Times" w:hAnsi="Times"/>
          <w:lang w:val="en-GB"/>
        </w:rPr>
        <w:t>as derived.</w:t>
      </w:r>
    </w:p>
    <w:p w:rsidR="008E1945" w:rsidRDefault="008E1945" w:rsidP="008E1945">
      <w:pPr>
        <w:spacing w:line="360" w:lineRule="auto"/>
        <w:ind w:firstLine="709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Our</w:t>
      </w:r>
      <w:r w:rsidRPr="003F3F26">
        <w:rPr>
          <w:rFonts w:ascii="Times" w:hAnsi="Times"/>
          <w:lang w:val="en-GB"/>
        </w:rPr>
        <w:t xml:space="preserve"> reasons for </w:t>
      </w:r>
      <w:r>
        <w:rPr>
          <w:rFonts w:ascii="Times" w:hAnsi="Times"/>
          <w:lang w:val="en-GB"/>
        </w:rPr>
        <w:t xml:space="preserve">simplifying </w:t>
      </w:r>
      <w:r w:rsidRPr="003F3F26">
        <w:rPr>
          <w:rFonts w:ascii="Times" w:hAnsi="Times"/>
          <w:lang w:val="en-GB"/>
        </w:rPr>
        <w:t>the Katz-Thesleff model were twofold: computational efficiency, especially when the channels are used as components o</w:t>
      </w:r>
      <w:r>
        <w:rPr>
          <w:rFonts w:ascii="Times" w:hAnsi="Times"/>
          <w:lang w:val="en-GB"/>
        </w:rPr>
        <w:t>f neuronal circuit</w:t>
      </w:r>
      <w:r w:rsidRPr="003F3F26">
        <w:rPr>
          <w:rFonts w:ascii="Times" w:hAnsi="Times"/>
          <w:lang w:val="en-GB"/>
        </w:rPr>
        <w:t xml:space="preserve"> models, and an enhanced flexibility in </w:t>
      </w:r>
      <w:r>
        <w:rPr>
          <w:rFonts w:ascii="Times" w:hAnsi="Times"/>
          <w:lang w:val="en-GB"/>
        </w:rPr>
        <w:t>the assessment</w:t>
      </w:r>
      <w:r w:rsidRPr="003F3F26">
        <w:rPr>
          <w:rFonts w:ascii="Times" w:hAnsi="Times"/>
          <w:lang w:val="en-GB"/>
        </w:rPr>
        <w:t xml:space="preserve"> of kinetic parameters from available experimental data. </w:t>
      </w:r>
    </w:p>
    <w:p w:rsidR="008E1945" w:rsidRPr="00D0603B" w:rsidRDefault="008E1945" w:rsidP="00D0603B">
      <w:pPr>
        <w:keepNext/>
        <w:spacing w:line="360" w:lineRule="auto"/>
        <w:ind w:firstLine="709"/>
        <w:jc w:val="both"/>
      </w:pPr>
      <w:r w:rsidRPr="003F3F26">
        <w:rPr>
          <w:rFonts w:ascii="Times" w:hAnsi="Times"/>
          <w:lang w:val="en-GB"/>
        </w:rPr>
        <w:t>In its</w:t>
      </w:r>
      <w:r>
        <w:rPr>
          <w:rFonts w:ascii="Times" w:hAnsi="Times"/>
          <w:lang w:val="en-GB"/>
        </w:rPr>
        <w:t xml:space="preserve"> original notation</w:t>
      </w:r>
      <w:r w:rsidRPr="003F3F26">
        <w:rPr>
          <w:rFonts w:ascii="Times" w:hAnsi="Times"/>
          <w:lang w:val="en-GB"/>
        </w:rPr>
        <w:t xml:space="preserve">, the cyclic Katz-Thesleff </w:t>
      </w:r>
      <w:r w:rsidR="00D24C2D">
        <w:rPr>
          <w:rFonts w:ascii="Times" w:hAnsi="Times"/>
          <w:lang w:val="en-GB"/>
        </w:rPr>
        <w:fldChar w:fldCharType="begin"/>
      </w:r>
      <w:r w:rsidR="00836ED5">
        <w:rPr>
          <w:rFonts w:ascii="Times" w:hAnsi="Times"/>
          <w:lang w:val="en-GB"/>
        </w:rPr>
        <w:instrText xml:space="preserve"> ADDIN EN.CITE &lt;EndNote&gt;&lt;Cite&gt;&lt;Author&gt;Katz&lt;/Author&gt;&lt;Year&gt;1957&lt;/Year&gt;&lt;RecNum&gt;280&lt;/RecNum&gt;&lt;DisplayText&gt;(Katz &amp;amp; Thesleff, 1957)&lt;/DisplayText&gt;&lt;record&gt;&lt;rec-number&gt;280&lt;/rec-number&gt;&lt;foreign-keys&gt;&lt;key app="EN" db-id="p2psvwzvzaa0whewxd7verf0asx00v2zt22z"&gt;280&lt;/key&gt;&lt;/foreign-keys&gt;&lt;ref-type name="Journal Article"&gt;17&lt;/ref-type&gt;&lt;contributors&gt;&lt;authors&gt;&lt;author&gt;Katz, B.&lt;/author&gt;&lt;author&gt;Thesleff, S.&lt;/author&gt;&lt;/authors&gt;&lt;/contributors&gt;&lt;titles&gt;&lt;title&gt;A study of the desensitization produced by acetylcholine at the motor end-plate&lt;/title&gt;&lt;secondary-title&gt;J Physiol&lt;/secondary-title&gt;&lt;alt-title&gt;The Journal of physiology&lt;/alt-title&gt;&lt;/titles&gt;&lt;periodical&gt;&lt;full-title&gt;J Physiol&lt;/full-title&gt;&lt;abbr-1&gt;The Journal of physiology&lt;/abbr-1&gt;&lt;/periodical&gt;&lt;alt-periodical&gt;&lt;full-title&gt;J Physiol&lt;/full-title&gt;&lt;abbr-1&gt;The Journal of physiology&lt;/abbr-1&gt;&lt;/alt-periodical&gt;&lt;pages&gt;63-80&lt;/pages&gt;&lt;volume&gt;138&lt;/volume&gt;&lt;number&gt;1&lt;/number&gt;&lt;keywords&gt;&lt;keyword&gt;Neuromuscular Junction/*physiology&lt;/keyword&gt;&lt;/keywords&gt;&lt;dates&gt;&lt;year&gt;1957&lt;/year&gt;&lt;pub-dates&gt;&lt;date&gt;Aug 29&lt;/date&gt;&lt;/pub-dates&gt;&lt;/dates&gt;&lt;isbn&gt;0022-3751 (Print)&amp;#xD;0022-3751 (Linking)&lt;/isbn&gt;&lt;accession-num&gt;13463799&lt;/accession-num&gt;&lt;urls&gt;&lt;related-urls&gt;&lt;url&gt;http://www.ncbi.nlm.nih.gov/pubmed/13463799&lt;/url&gt;&lt;/related-urls&gt;&lt;/urls&gt;&lt;custom2&gt;1363030&lt;/custom2&gt;&lt;/record&gt;&lt;/Cite&gt;&lt;/EndNote&gt;</w:instrText>
      </w:r>
      <w:r w:rsidR="00D24C2D">
        <w:rPr>
          <w:rFonts w:ascii="Times" w:hAnsi="Times"/>
          <w:lang w:val="en-GB"/>
        </w:rPr>
        <w:fldChar w:fldCharType="separate"/>
      </w:r>
      <w:r w:rsidR="00836ED5">
        <w:rPr>
          <w:rFonts w:ascii="Times" w:hAnsi="Times"/>
          <w:noProof/>
          <w:lang w:val="en-GB"/>
        </w:rPr>
        <w:t>(</w:t>
      </w:r>
      <w:hyperlink w:anchor="_ENREF_3" w:tooltip="Katz, 1957 #280" w:history="1">
        <w:r w:rsidR="00243A20">
          <w:rPr>
            <w:rFonts w:ascii="Times" w:hAnsi="Times"/>
            <w:noProof/>
            <w:lang w:val="en-GB"/>
          </w:rPr>
          <w:t>Katz &amp; Thesleff, 1957</w:t>
        </w:r>
      </w:hyperlink>
      <w:r w:rsidR="00836ED5">
        <w:rPr>
          <w:rFonts w:ascii="Times" w:hAnsi="Times"/>
          <w:noProof/>
          <w:lang w:val="en-GB"/>
        </w:rPr>
        <w:t>)</w:t>
      </w:r>
      <w:r w:rsidR="00D24C2D">
        <w:rPr>
          <w:rFonts w:ascii="Times" w:hAnsi="Times"/>
          <w:lang w:val="en-GB"/>
        </w:rPr>
        <w:fldChar w:fldCharType="end"/>
      </w:r>
      <w:r w:rsidRPr="003F3F26">
        <w:rPr>
          <w:rFonts w:ascii="Times" w:hAnsi="Times"/>
          <w:lang w:val="en-GB"/>
        </w:rPr>
        <w:t xml:space="preserve"> </w:t>
      </w:r>
      <w:r w:rsidR="00836ED5">
        <w:rPr>
          <w:rFonts w:ascii="Times" w:hAnsi="Times"/>
          <w:lang w:val="en-GB"/>
        </w:rPr>
        <w:t>m</w:t>
      </w:r>
      <w:r w:rsidRPr="003F3F26">
        <w:rPr>
          <w:rFonts w:ascii="Times" w:hAnsi="Times"/>
          <w:lang w:val="en-GB"/>
        </w:rPr>
        <w:t>odel (Fig</w:t>
      </w:r>
      <w:r>
        <w:rPr>
          <w:rFonts w:ascii="Times" w:hAnsi="Times"/>
          <w:lang w:val="en-GB"/>
        </w:rPr>
        <w:t>.</w:t>
      </w:r>
      <w:r w:rsidR="0001112A">
        <w:rPr>
          <w:rFonts w:ascii="Times" w:hAnsi="Times"/>
          <w:lang w:val="en-GB"/>
        </w:rPr>
        <w:t xml:space="preserve"> S4</w:t>
      </w:r>
      <w:r w:rsidRPr="003F3F26">
        <w:rPr>
          <w:rFonts w:ascii="Times" w:hAnsi="Times"/>
          <w:lang w:val="en-GB"/>
        </w:rPr>
        <w:t xml:space="preserve">A) describes the kinetics of receptor channels </w:t>
      </w:r>
      <w:r>
        <w:rPr>
          <w:rFonts w:ascii="Times" w:hAnsi="Times"/>
          <w:lang w:val="en-GB"/>
        </w:rPr>
        <w:t>that</w:t>
      </w:r>
      <w:r w:rsidRPr="003F3F2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are either </w:t>
      </w:r>
      <w:r w:rsidRPr="003F3F26">
        <w:rPr>
          <w:rFonts w:ascii="Times" w:hAnsi="Times"/>
          <w:lang w:val="en-GB"/>
        </w:rPr>
        <w:t xml:space="preserve">receptive (R) or desensitized (D), and bound to agonist A or unbound. Only </w:t>
      </w:r>
      <w:r>
        <w:rPr>
          <w:rFonts w:ascii="Times" w:hAnsi="Times"/>
          <w:lang w:val="en-GB"/>
        </w:rPr>
        <w:t xml:space="preserve">in </w:t>
      </w:r>
      <w:r w:rsidRPr="003F3F26">
        <w:rPr>
          <w:rFonts w:ascii="Times" w:hAnsi="Times"/>
          <w:lang w:val="en-GB"/>
        </w:rPr>
        <w:t xml:space="preserve">the </w:t>
      </w:r>
      <w:r>
        <w:rPr>
          <w:rFonts w:ascii="Times" w:hAnsi="Times"/>
          <w:lang w:val="en-GB"/>
        </w:rPr>
        <w:t>AR state is</w:t>
      </w:r>
      <w:r w:rsidR="00836ED5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the channel conducting</w:t>
      </w:r>
      <w:r w:rsidRPr="003F3F26">
        <w:rPr>
          <w:rFonts w:ascii="Times" w:hAnsi="Times"/>
          <w:lang w:val="en-GB"/>
        </w:rPr>
        <w:t>. Eight rate constants govern the transitions between states. Typically,</w:t>
      </w:r>
      <w:r>
        <w:rPr>
          <w:rFonts w:ascii="Times" w:hAnsi="Times"/>
          <w:lang w:val="en-GB"/>
        </w:rPr>
        <w:t xml:space="preserve"> </w:t>
      </w:r>
      <w:r w:rsidR="0095638B">
        <w:rPr>
          <w:rFonts w:ascii="Times" w:hAnsi="Times"/>
          <w:lang w:val="en-GB"/>
        </w:rPr>
        <w:t>a</w:t>
      </w:r>
      <w:r>
        <w:rPr>
          <w:rFonts w:ascii="Times" w:hAnsi="Times"/>
          <w:lang w:val="en-GB"/>
        </w:rPr>
        <w:t>gonist binding is fast whereas de- and</w:t>
      </w:r>
      <w:r w:rsidRPr="003F3F26">
        <w:rPr>
          <w:rFonts w:ascii="Times" w:hAnsi="Times"/>
          <w:lang w:val="en-GB"/>
        </w:rPr>
        <w:t xml:space="preserve"> resensitization are </w:t>
      </w:r>
      <w:r>
        <w:rPr>
          <w:rFonts w:ascii="Times" w:hAnsi="Times"/>
          <w:lang w:val="en-GB"/>
        </w:rPr>
        <w:t>slow. Although the</w:t>
      </w:r>
      <w:r w:rsidRPr="003F3F26">
        <w:rPr>
          <w:rFonts w:ascii="Times" w:hAnsi="Times"/>
          <w:lang w:val="en-GB"/>
        </w:rPr>
        <w:t xml:space="preserve"> complete set of rate constants can be determined </w:t>
      </w:r>
      <w:r>
        <w:rPr>
          <w:rFonts w:ascii="Times" w:hAnsi="Times"/>
          <w:lang w:val="en-GB"/>
        </w:rPr>
        <w:t xml:space="preserve">experimentally </w:t>
      </w:r>
      <w:r w:rsidRPr="003F3F26">
        <w:rPr>
          <w:rFonts w:ascii="Times" w:hAnsi="Times"/>
          <w:lang w:val="en-GB"/>
        </w:rPr>
        <w:t xml:space="preserve">from </w:t>
      </w:r>
      <w:r>
        <w:rPr>
          <w:rFonts w:ascii="Times" w:hAnsi="Times"/>
          <w:lang w:val="en-GB"/>
        </w:rPr>
        <w:t xml:space="preserve">the statistics of </w:t>
      </w:r>
      <w:r w:rsidRPr="003F3F26">
        <w:rPr>
          <w:rFonts w:ascii="Times" w:hAnsi="Times"/>
          <w:lang w:val="en-GB"/>
        </w:rPr>
        <w:t>single-channel open</w:t>
      </w:r>
      <w:r>
        <w:rPr>
          <w:rFonts w:ascii="Times" w:hAnsi="Times"/>
          <w:lang w:val="en-GB"/>
        </w:rPr>
        <w:t>ing, this has only been done</w:t>
      </w:r>
      <w:r w:rsidRPr="003F3F26">
        <w:rPr>
          <w:rFonts w:ascii="Times" w:hAnsi="Times"/>
          <w:lang w:val="en-GB"/>
        </w:rPr>
        <w:t xml:space="preserve"> for particular receptor subtypes and particular agonis</w:t>
      </w:r>
      <w:r>
        <w:rPr>
          <w:rFonts w:ascii="Times" w:hAnsi="Times"/>
          <w:lang w:val="en-GB"/>
        </w:rPr>
        <w:t>ts</w:t>
      </w:r>
      <w:r w:rsidRPr="003F3F26">
        <w:rPr>
          <w:rFonts w:ascii="Times" w:hAnsi="Times"/>
          <w:lang w:val="en-GB"/>
        </w:rPr>
        <w:t xml:space="preserve"> (</w:t>
      </w:r>
      <w:r>
        <w:rPr>
          <w:rFonts w:ascii="Times" w:hAnsi="Times"/>
          <w:lang w:val="en-GB"/>
        </w:rPr>
        <w:t xml:space="preserve">see for instance </w:t>
      </w:r>
      <w:r w:rsidR="00D24C2D">
        <w:rPr>
          <w:rFonts w:ascii="Times" w:hAnsi="Times"/>
          <w:lang w:val="en-GB"/>
        </w:rPr>
        <w:fldChar w:fldCharType="begin">
          <w:fldData xml:space="preserve">PEVuZE5vdGU+PENpdGU+PEF1dGhvcj5BdWVyYmFjaDwvQXV0aG9yPjxZZWFyPjE5OTg8L1llYXI+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</w:fldData>
        </w:fldChar>
      </w:r>
      <w:r w:rsidR="00243A20">
        <w:rPr>
          <w:rFonts w:ascii="Times" w:hAnsi="Times"/>
          <w:lang w:val="en-GB"/>
        </w:rPr>
        <w:instrText xml:space="preserve"> ADDIN EN.CITE </w:instrText>
      </w:r>
      <w:r w:rsidR="00243A20">
        <w:rPr>
          <w:rFonts w:ascii="Times" w:hAnsi="Times"/>
          <w:lang w:val="en-GB"/>
        </w:rPr>
        <w:fldChar w:fldCharType="begin">
          <w:fldData xml:space="preserve">PEVuZE5vdGU+PENpdGU+PEF1dGhvcj5BdWVyYmFjaDwvQXV0aG9yPjxZZWFyPjE5OTg8L1llYXI+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</w:fldData>
        </w:fldChar>
      </w:r>
      <w:r w:rsidR="00243A20">
        <w:rPr>
          <w:rFonts w:ascii="Times" w:hAnsi="Times"/>
          <w:lang w:val="en-GB"/>
        </w:rPr>
        <w:instrText xml:space="preserve"> ADDIN EN.CITE.DATA </w:instrText>
      </w:r>
      <w:r w:rsidR="00243A20">
        <w:rPr>
          <w:rFonts w:ascii="Times" w:hAnsi="Times"/>
          <w:lang w:val="en-GB"/>
        </w:rPr>
      </w:r>
      <w:r w:rsidR="00243A20">
        <w:rPr>
          <w:rFonts w:ascii="Times" w:hAnsi="Times"/>
          <w:lang w:val="en-GB"/>
        </w:rPr>
        <w:fldChar w:fldCharType="end"/>
      </w:r>
      <w:r w:rsidR="00D24C2D">
        <w:rPr>
          <w:rFonts w:ascii="Times" w:hAnsi="Times"/>
          <w:lang w:val="en-GB"/>
        </w:rPr>
        <w:fldChar w:fldCharType="separate"/>
      </w:r>
      <w:r w:rsidR="00836ED5">
        <w:rPr>
          <w:rFonts w:ascii="Times" w:hAnsi="Times"/>
          <w:noProof/>
          <w:lang w:val="en-GB"/>
        </w:rPr>
        <w:t>(</w:t>
      </w:r>
      <w:hyperlink w:anchor="_ENREF_1" w:tooltip="Auerbach, 1998 #113" w:history="1">
        <w:r w:rsidR="00243A20">
          <w:rPr>
            <w:rFonts w:ascii="Times" w:hAnsi="Times"/>
            <w:noProof/>
            <w:lang w:val="en-GB"/>
          </w:rPr>
          <w:t>Auerbach &amp; Akk, 1998</w:t>
        </w:r>
      </w:hyperlink>
      <w:r w:rsidR="00836ED5">
        <w:rPr>
          <w:rFonts w:ascii="Times" w:hAnsi="Times"/>
          <w:noProof/>
          <w:lang w:val="en-GB"/>
        </w:rPr>
        <w:t xml:space="preserve">; </w:t>
      </w:r>
      <w:hyperlink w:anchor="_ENREF_2" w:tooltip="Demazumder, 2001 #322" w:history="1">
        <w:r w:rsidR="00243A20">
          <w:rPr>
            <w:rFonts w:ascii="Times" w:hAnsi="Times"/>
            <w:noProof/>
            <w:lang w:val="en-GB"/>
          </w:rPr>
          <w:t>Demazumder &amp; Dilger, 2001</w:t>
        </w:r>
      </w:hyperlink>
      <w:r w:rsidR="00836ED5">
        <w:rPr>
          <w:rFonts w:ascii="Times" w:hAnsi="Times"/>
          <w:noProof/>
          <w:lang w:val="en-GB"/>
        </w:rPr>
        <w:t>)</w:t>
      </w:r>
      <w:r w:rsidR="00D24C2D">
        <w:rPr>
          <w:rFonts w:ascii="Times" w:hAnsi="Times"/>
          <w:lang w:val="en-GB"/>
        </w:rPr>
        <w:fldChar w:fldCharType="end"/>
      </w:r>
      <w:r w:rsidRPr="003F3F26">
        <w:rPr>
          <w:rFonts w:ascii="Times" w:hAnsi="Times"/>
          <w:lang w:val="en-GB"/>
        </w:rPr>
        <w:t xml:space="preserve">). </w:t>
      </w:r>
    </w:p>
    <w:p w:rsidR="008E1945" w:rsidRDefault="008E1945" w:rsidP="008E1945">
      <w:pPr>
        <w:spacing w:line="360" w:lineRule="auto"/>
        <w:ind w:firstLine="709"/>
        <w:jc w:val="both"/>
        <w:rPr>
          <w:rFonts w:ascii="Times" w:hAnsi="Times"/>
          <w:lang w:val="en-GB"/>
        </w:rPr>
      </w:pPr>
      <w:r w:rsidRPr="003F3F26">
        <w:rPr>
          <w:rFonts w:ascii="Times" w:hAnsi="Times"/>
          <w:lang w:val="en-GB"/>
        </w:rPr>
        <w:t>The cyclic Katz-Thesleff model can be made symmetrical (Fi</w:t>
      </w:r>
      <w:r>
        <w:rPr>
          <w:rFonts w:ascii="Times" w:hAnsi="Times"/>
          <w:lang w:val="en-GB"/>
        </w:rPr>
        <w:t>g.</w:t>
      </w:r>
      <w:r w:rsidR="00836ED5">
        <w:rPr>
          <w:rFonts w:ascii="Times" w:hAnsi="Times"/>
          <w:lang w:val="en-GB"/>
        </w:rPr>
        <w:t xml:space="preserve"> S</w:t>
      </w:r>
      <w:r w:rsidR="0001112A">
        <w:rPr>
          <w:rFonts w:ascii="Times" w:hAnsi="Times"/>
          <w:lang w:val="en-GB"/>
        </w:rPr>
        <w:t>4</w:t>
      </w:r>
      <w:r w:rsidRPr="003F3F26">
        <w:rPr>
          <w:rFonts w:ascii="Times" w:hAnsi="Times"/>
          <w:lang w:val="en-GB"/>
        </w:rPr>
        <w:t xml:space="preserve">B) if both </w:t>
      </w:r>
      <w:r>
        <w:rPr>
          <w:rFonts w:ascii="Times" w:hAnsi="Times"/>
          <w:lang w:val="en-GB"/>
        </w:rPr>
        <w:t xml:space="preserve">the </w:t>
      </w:r>
      <w:r w:rsidRPr="003F3F26">
        <w:rPr>
          <w:rFonts w:ascii="Times" w:hAnsi="Times"/>
          <w:lang w:val="en-GB"/>
        </w:rPr>
        <w:t>activation and desensitization are agonis</w:t>
      </w:r>
      <w:r>
        <w:rPr>
          <w:rFonts w:ascii="Times" w:hAnsi="Times"/>
          <w:lang w:val="en-GB"/>
        </w:rPr>
        <w:t>t-driven and if the paired rate-</w:t>
      </w:r>
      <w:r w:rsidRPr="003F3F26">
        <w:rPr>
          <w:rFonts w:ascii="Times" w:hAnsi="Times"/>
          <w:lang w:val="en-GB"/>
        </w:rPr>
        <w:t xml:space="preserve">constants of transitions in </w:t>
      </w:r>
      <w:r>
        <w:rPr>
          <w:rFonts w:ascii="Times" w:hAnsi="Times"/>
          <w:lang w:val="en-GB"/>
        </w:rPr>
        <w:t>the same direction are identical</w:t>
      </w:r>
      <w:r w:rsidRPr="003F3F26">
        <w:rPr>
          <w:rFonts w:ascii="Times" w:hAnsi="Times"/>
          <w:lang w:val="en-GB"/>
        </w:rPr>
        <w:t xml:space="preserve"> (</w:t>
      </w:r>
      <w:r w:rsidR="00243A20" w:rsidRPr="00243A20">
        <w:rPr>
          <w:rFonts w:ascii="Times" w:hAnsi="Times"/>
          <w:position w:val="-12"/>
          <w:lang w:val="en-GB"/>
        </w:rPr>
        <w:object w:dxaOrig="7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25pt;height:21.75pt" o:ole="">
            <v:imagedata r:id="rId6" o:title=""/>
          </v:shape>
          <o:OLEObject Type="Embed" ProgID="Equation.DSMT4" ShapeID="_x0000_i1028" DrawAspect="Content" ObjectID="_1435054498" r:id="rId7"/>
        </w:object>
      </w:r>
      <w:r w:rsidRPr="003F3F26">
        <w:rPr>
          <w:rFonts w:ascii="Times" w:hAnsi="Times"/>
          <w:lang w:val="en-GB"/>
        </w:rPr>
        <w:t xml:space="preserve">, </w:t>
      </w:r>
      <w:r w:rsidR="00243A20" w:rsidRPr="00243A20">
        <w:rPr>
          <w:rFonts w:ascii="Times" w:hAnsi="Times"/>
          <w:position w:val="-6"/>
          <w:lang w:val="en-GB"/>
        </w:rPr>
        <w:object w:dxaOrig="780" w:dyaOrig="279">
          <v:shape id="_x0000_i1032" type="#_x0000_t75" style="width:39pt;height:14.25pt" o:ole="">
            <v:imagedata r:id="rId8" o:title=""/>
          </v:shape>
          <o:OLEObject Type="Embed" ProgID="Equation.DSMT4" ShapeID="_x0000_i1032" DrawAspect="Content" ObjectID="_1435054499" r:id="rId9"/>
        </w:object>
      </w:r>
      <w:r w:rsidRPr="003F3F26">
        <w:rPr>
          <w:rFonts w:ascii="Times" w:hAnsi="Times"/>
          <w:lang w:val="en-GB"/>
        </w:rPr>
        <w:t xml:space="preserve">). This symmetrical model </w:t>
      </w:r>
      <w:r>
        <w:rPr>
          <w:rFonts w:ascii="Times" w:hAnsi="Times"/>
          <w:lang w:val="en-GB"/>
        </w:rPr>
        <w:t xml:space="preserve">then </w:t>
      </w:r>
      <w:r w:rsidRPr="003F3F26">
        <w:rPr>
          <w:rFonts w:ascii="Times" w:hAnsi="Times"/>
          <w:lang w:val="en-GB"/>
        </w:rPr>
        <w:t>formally separates into two gates</w:t>
      </w:r>
      <w:r>
        <w:rPr>
          <w:rFonts w:ascii="Times" w:hAnsi="Times"/>
          <w:lang w:val="en-GB"/>
        </w:rPr>
        <w:t xml:space="preserve">, </w:t>
      </w:r>
      <w:r w:rsidRPr="00DD7EAA">
        <w:rPr>
          <w:rFonts w:ascii="Times" w:hAnsi="Times"/>
          <w:i/>
          <w:lang w:val="en-GB"/>
        </w:rPr>
        <w:t>a</w:t>
      </w:r>
      <w:r>
        <w:rPr>
          <w:rFonts w:ascii="Times" w:hAnsi="Times"/>
          <w:lang w:val="en-GB"/>
        </w:rPr>
        <w:t xml:space="preserve"> and </w:t>
      </w:r>
      <w:r w:rsidRPr="00DD7EAA">
        <w:rPr>
          <w:rFonts w:ascii="Times" w:hAnsi="Times"/>
          <w:i/>
          <w:lang w:val="en-GB"/>
        </w:rPr>
        <w:t>s</w:t>
      </w:r>
      <w:r>
        <w:rPr>
          <w:rFonts w:ascii="Times" w:hAnsi="Times"/>
          <w:lang w:val="en-GB"/>
        </w:rPr>
        <w:t>,</w:t>
      </w:r>
      <w:r w:rsidRPr="003F3F26">
        <w:rPr>
          <w:rFonts w:ascii="Times" w:hAnsi="Times"/>
          <w:lang w:val="en-GB"/>
        </w:rPr>
        <w:t xml:space="preserve"> wi</w:t>
      </w:r>
      <w:r>
        <w:rPr>
          <w:rFonts w:ascii="Times" w:hAnsi="Times"/>
          <w:lang w:val="en-GB"/>
        </w:rPr>
        <w:t xml:space="preserve">th independent kinetics (Fig. </w:t>
      </w:r>
      <w:r w:rsidR="00836ED5">
        <w:rPr>
          <w:rFonts w:ascii="Times" w:hAnsi="Times"/>
          <w:lang w:val="en-GB"/>
        </w:rPr>
        <w:t>S</w:t>
      </w:r>
      <w:r w:rsidR="0001112A">
        <w:rPr>
          <w:rFonts w:ascii="Times" w:hAnsi="Times"/>
          <w:lang w:val="en-GB"/>
        </w:rPr>
        <w:t>4</w:t>
      </w:r>
      <w:r w:rsidRPr="003F3F26">
        <w:rPr>
          <w:rFonts w:ascii="Times" w:hAnsi="Times"/>
          <w:lang w:val="en-GB"/>
        </w:rPr>
        <w:t xml:space="preserve">C). The values </w:t>
      </w:r>
      <w:r w:rsidR="00243A20" w:rsidRPr="00243A20">
        <w:rPr>
          <w:rFonts w:ascii="Times" w:hAnsi="Times"/>
          <w:position w:val="-6"/>
          <w:lang w:val="en-GB"/>
        </w:rPr>
        <w:object w:dxaOrig="260" w:dyaOrig="320">
          <v:shape id="_x0000_i1036" type="#_x0000_t75" style="width:12.75pt;height:15.75pt" o:ole="">
            <v:imagedata r:id="rId10" o:title=""/>
          </v:shape>
          <o:OLEObject Type="Embed" ProgID="Equation.DSMT4" ShapeID="_x0000_i1036" DrawAspect="Content" ObjectID="_1435054500" r:id="rId11"/>
        </w:object>
      </w:r>
      <w:r w:rsidR="00243A20">
        <w:rPr>
          <w:rFonts w:ascii="Times" w:hAnsi="Times"/>
          <w:lang w:val="en-GB"/>
        </w:rPr>
        <w:t xml:space="preserve"> </w:t>
      </w:r>
      <w:r w:rsidRPr="003F3F26">
        <w:rPr>
          <w:rFonts w:ascii="Times" w:hAnsi="Times"/>
          <w:lang w:val="en-GB"/>
        </w:rPr>
        <w:t xml:space="preserve">and </w:t>
      </w:r>
      <w:r w:rsidR="00243A20" w:rsidRPr="00243A20">
        <w:rPr>
          <w:rFonts w:ascii="Times" w:hAnsi="Times"/>
          <w:position w:val="-6"/>
          <w:lang w:val="en-GB"/>
        </w:rPr>
        <w:object w:dxaOrig="240" w:dyaOrig="320">
          <v:shape id="_x0000_i1040" type="#_x0000_t75" style="width:12pt;height:15.75pt" o:ole="">
            <v:imagedata r:id="rId12" o:title=""/>
          </v:shape>
          <o:OLEObject Type="Embed" ProgID="Equation.DSMT4" ShapeID="_x0000_i1040" DrawAspect="Content" ObjectID="_1435054501" r:id="rId13"/>
        </w:object>
      </w:r>
      <w:r w:rsidRPr="003F3F26">
        <w:rPr>
          <w:rFonts w:ascii="Times" w:hAnsi="Times"/>
          <w:lang w:val="en-GB"/>
        </w:rPr>
        <w:t xml:space="preserve"> indicate the fraction</w:t>
      </w:r>
      <w:r>
        <w:rPr>
          <w:rFonts w:ascii="Times" w:hAnsi="Times"/>
          <w:lang w:val="en-GB"/>
        </w:rPr>
        <w:t>s</w:t>
      </w:r>
      <w:r w:rsidRPr="003F3F26">
        <w:rPr>
          <w:rFonts w:ascii="Times" w:hAnsi="Times"/>
          <w:lang w:val="en-GB"/>
        </w:rPr>
        <w:t xml:space="preserve"> of channels in the active and sensitive state</w:t>
      </w:r>
      <w:r>
        <w:rPr>
          <w:rFonts w:ascii="Times" w:hAnsi="Times"/>
          <w:lang w:val="en-GB"/>
        </w:rPr>
        <w:t>s</w:t>
      </w:r>
      <w:r w:rsidRPr="003F3F26">
        <w:rPr>
          <w:rFonts w:ascii="Times" w:hAnsi="Times"/>
          <w:lang w:val="en-GB"/>
        </w:rPr>
        <w:t xml:space="preserve">, respectively. The product of </w:t>
      </w:r>
      <w:r w:rsidR="00243A20" w:rsidRPr="00243A20">
        <w:rPr>
          <w:rFonts w:ascii="Times" w:hAnsi="Times"/>
          <w:position w:val="-6"/>
          <w:lang w:val="en-GB"/>
        </w:rPr>
        <w:object w:dxaOrig="260" w:dyaOrig="320">
          <v:shape id="_x0000_i1041" type="#_x0000_t75" style="width:12.75pt;height:15.75pt" o:ole="">
            <v:imagedata r:id="rId10" o:title=""/>
          </v:shape>
          <o:OLEObject Type="Embed" ProgID="Equation.DSMT4" ShapeID="_x0000_i1041" DrawAspect="Content" ObjectID="_1435054502" r:id="rId14"/>
        </w:object>
      </w:r>
      <w:r w:rsidRPr="003F3F26">
        <w:rPr>
          <w:rFonts w:ascii="Times" w:hAnsi="Times"/>
          <w:lang w:val="en-GB"/>
        </w:rPr>
        <w:t xml:space="preserve"> and </w:t>
      </w:r>
      <w:r w:rsidR="00243A20" w:rsidRPr="00243A20">
        <w:rPr>
          <w:rFonts w:ascii="Times" w:hAnsi="Times"/>
          <w:position w:val="-6"/>
          <w:lang w:val="en-GB"/>
        </w:rPr>
        <w:object w:dxaOrig="240" w:dyaOrig="320">
          <v:shape id="_x0000_i1042" type="#_x0000_t75" style="width:12pt;height:15.75pt" o:ole="">
            <v:imagedata r:id="rId12" o:title=""/>
          </v:shape>
          <o:OLEObject Type="Embed" ProgID="Equation.DSMT4" ShapeID="_x0000_i1042" DrawAspect="Content" ObjectID="_1435054503" r:id="rId15"/>
        </w:object>
      </w:r>
      <w:r w:rsidRPr="003F3F26">
        <w:rPr>
          <w:rFonts w:ascii="Times" w:hAnsi="Times"/>
          <w:lang w:val="en-GB"/>
        </w:rPr>
        <w:t xml:space="preserve"> yields the frac</w:t>
      </w:r>
      <w:r>
        <w:rPr>
          <w:rFonts w:ascii="Times" w:hAnsi="Times"/>
          <w:lang w:val="en-GB"/>
        </w:rPr>
        <w:t>tion of open channels</w:t>
      </w:r>
      <w:r w:rsidRPr="003F3F26">
        <w:rPr>
          <w:rFonts w:ascii="Times" w:hAnsi="Times"/>
          <w:lang w:val="en-GB"/>
        </w:rPr>
        <w:t xml:space="preserve">. </w:t>
      </w:r>
    </w:p>
    <w:p w:rsidR="008E1945" w:rsidRDefault="008E1945" w:rsidP="008E1945">
      <w:pPr>
        <w:spacing w:line="360" w:lineRule="auto"/>
        <w:ind w:firstLine="709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</w:t>
      </w:r>
      <w:r w:rsidRPr="003F3F26">
        <w:rPr>
          <w:rFonts w:ascii="Times" w:hAnsi="Times"/>
          <w:lang w:val="en-GB"/>
        </w:rPr>
        <w:t xml:space="preserve">he </w:t>
      </w:r>
      <w:r>
        <w:rPr>
          <w:rFonts w:ascii="Times" w:hAnsi="Times"/>
          <w:lang w:val="en-GB"/>
        </w:rPr>
        <w:t xml:space="preserve">linear dependence of the forward-reaction rates on </w:t>
      </w:r>
      <w:r w:rsidRPr="003F3F26">
        <w:rPr>
          <w:rFonts w:ascii="Times" w:hAnsi="Times"/>
          <w:lang w:val="en-GB"/>
        </w:rPr>
        <w:t xml:space="preserve">agonist concentration </w:t>
      </w:r>
      <w:r>
        <w:rPr>
          <w:rFonts w:ascii="Times" w:hAnsi="Times"/>
          <w:lang w:val="en-GB"/>
        </w:rPr>
        <w:t>[</w:t>
      </w:r>
      <w:r w:rsidRPr="003F3F26">
        <w:rPr>
          <w:rFonts w:ascii="Times" w:hAnsi="Times"/>
          <w:lang w:val="en-GB"/>
        </w:rPr>
        <w:t>A</w:t>
      </w:r>
      <w:r>
        <w:rPr>
          <w:rFonts w:ascii="Times" w:hAnsi="Times"/>
          <w:lang w:val="en-GB"/>
        </w:rPr>
        <w:t xml:space="preserve">] (as in </w:t>
      </w:r>
      <w:r w:rsidR="00951EDB">
        <w:rPr>
          <w:rFonts w:ascii="Times" w:hAnsi="Times"/>
          <w:lang w:val="en-GB"/>
        </w:rPr>
        <w:t>Fig. S</w:t>
      </w:r>
      <w:r w:rsidR="0001112A">
        <w:rPr>
          <w:rFonts w:ascii="Times" w:hAnsi="Times"/>
          <w:lang w:val="en-GB"/>
        </w:rPr>
        <w:t>4</w:t>
      </w:r>
      <w:r>
        <w:rPr>
          <w:rFonts w:ascii="Times" w:hAnsi="Times"/>
          <w:lang w:val="en-GB"/>
        </w:rPr>
        <w:t>C) can be generalized to arbitrary dependencies by using</w:t>
      </w:r>
      <w:r w:rsidRPr="003F3F2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rate-</w:t>
      </w:r>
      <w:r w:rsidRPr="003F3F26">
        <w:rPr>
          <w:rFonts w:ascii="Times" w:hAnsi="Times"/>
          <w:lang w:val="en-GB"/>
        </w:rPr>
        <w:t xml:space="preserve">constants </w:t>
      </w:r>
      <w:r>
        <w:rPr>
          <w:rFonts w:ascii="Times" w:hAnsi="Times"/>
          <w:lang w:val="en-GB"/>
        </w:rPr>
        <w:t>that</w:t>
      </w:r>
      <w:r w:rsidRPr="003F3F26">
        <w:rPr>
          <w:rFonts w:ascii="Times" w:hAnsi="Times"/>
          <w:lang w:val="en-GB"/>
        </w:rPr>
        <w:t xml:space="preserve"> are </w:t>
      </w:r>
      <w:r>
        <w:rPr>
          <w:rFonts w:ascii="Times" w:hAnsi="Times"/>
          <w:lang w:val="en-GB"/>
        </w:rPr>
        <w:t xml:space="preserve">themselves </w:t>
      </w:r>
      <w:r w:rsidRPr="003F3F26">
        <w:rPr>
          <w:rFonts w:ascii="Times" w:hAnsi="Times"/>
          <w:lang w:val="en-GB"/>
        </w:rPr>
        <w:t>functi</w:t>
      </w:r>
      <w:r>
        <w:rPr>
          <w:rFonts w:ascii="Times" w:hAnsi="Times"/>
          <w:lang w:val="en-GB"/>
        </w:rPr>
        <w:t>ons of</w:t>
      </w:r>
      <w:r w:rsidRPr="003F3F2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F3F26">
        <w:rPr>
          <w:rFonts w:ascii="Times" w:hAnsi="Times"/>
          <w:lang w:val="en-GB"/>
        </w:rPr>
        <w:t>A</w:t>
      </w:r>
      <w:r>
        <w:rPr>
          <w:rFonts w:ascii="Times" w:hAnsi="Times"/>
          <w:lang w:val="en-GB"/>
        </w:rPr>
        <w:t>] (Fig.</w:t>
      </w:r>
      <w:r w:rsidR="00951EDB">
        <w:rPr>
          <w:rFonts w:ascii="Times" w:hAnsi="Times"/>
          <w:lang w:val="en-GB"/>
        </w:rPr>
        <w:t xml:space="preserve"> S</w:t>
      </w:r>
      <w:r w:rsidR="0001112A">
        <w:rPr>
          <w:rFonts w:ascii="Times" w:hAnsi="Times"/>
          <w:lang w:val="en-GB"/>
        </w:rPr>
        <w:t>4</w:t>
      </w:r>
      <w:r w:rsidRPr="003F3F26">
        <w:rPr>
          <w:rFonts w:ascii="Times" w:hAnsi="Times"/>
          <w:lang w:val="en-GB"/>
        </w:rPr>
        <w:t>D). At each given concentration</w:t>
      </w:r>
      <w:r>
        <w:rPr>
          <w:rFonts w:ascii="Times" w:hAnsi="Times"/>
          <w:lang w:val="en-GB"/>
        </w:rPr>
        <w:t xml:space="preserve"> [A]</w:t>
      </w:r>
      <w:r w:rsidRPr="003F3F26">
        <w:rPr>
          <w:rFonts w:ascii="Times" w:hAnsi="Times"/>
          <w:lang w:val="en-GB"/>
        </w:rPr>
        <w:t>, the</w:t>
      </w:r>
      <w:r>
        <w:rPr>
          <w:rFonts w:ascii="Times" w:hAnsi="Times"/>
          <w:lang w:val="en-GB"/>
        </w:rPr>
        <w:t xml:space="preserve"> </w:t>
      </w:r>
      <w:r w:rsidR="00520BF1">
        <w:rPr>
          <w:rFonts w:ascii="Times" w:hAnsi="Times"/>
          <w:lang w:val="en-GB"/>
        </w:rPr>
        <w:t xml:space="preserve">activation </w:t>
      </w:r>
      <w:r>
        <w:rPr>
          <w:rFonts w:ascii="Times" w:hAnsi="Times"/>
          <w:lang w:val="en-GB"/>
        </w:rPr>
        <w:t xml:space="preserve">kinetics is first-order </w:t>
      </w:r>
      <w:r w:rsidRPr="003F3F26">
        <w:rPr>
          <w:rFonts w:ascii="Times" w:hAnsi="Times"/>
          <w:lang w:val="en-GB"/>
        </w:rPr>
        <w:t>linear with</w:t>
      </w:r>
      <w:r>
        <w:rPr>
          <w:rFonts w:ascii="Times" w:hAnsi="Times"/>
          <w:lang w:val="en-GB"/>
        </w:rPr>
        <w:t xml:space="preserve"> equilibrium </w:t>
      </w:r>
      <w:r w:rsidR="000E0A06" w:rsidRPr="000E0A06">
        <w:rPr>
          <w:rFonts w:ascii="Times" w:hAnsi="Times"/>
          <w:position w:val="-12"/>
          <w:lang w:val="en-GB"/>
        </w:rPr>
        <w:object w:dxaOrig="3000" w:dyaOrig="360">
          <v:shape id="_x0000_i1047" type="#_x0000_t75" style="width:150pt;height:18pt" o:ole="">
            <v:imagedata r:id="rId16" o:title=""/>
          </v:shape>
          <o:OLEObject Type="Embed" ProgID="Equation.DSMT4" ShapeID="_x0000_i1047" DrawAspect="Content" ObjectID="_1435054504" r:id="rId17"/>
        </w:object>
      </w:r>
      <w:r w:rsidRPr="003F3F26">
        <w:rPr>
          <w:rFonts w:ascii="Times" w:hAnsi="Times"/>
          <w:lang w:val="en-GB"/>
        </w:rPr>
        <w:t xml:space="preserve"> and</w:t>
      </w:r>
      <w:r>
        <w:rPr>
          <w:rFonts w:ascii="Times" w:hAnsi="Times"/>
          <w:lang w:val="en-GB"/>
        </w:rPr>
        <w:t xml:space="preserve"> time-constant </w:t>
      </w:r>
      <w:r w:rsidR="000E0A06" w:rsidRPr="000E0A06">
        <w:rPr>
          <w:rFonts w:ascii="Times" w:hAnsi="Times"/>
          <w:position w:val="-14"/>
          <w:lang w:val="en-GB"/>
        </w:rPr>
        <w:object w:dxaOrig="2520" w:dyaOrig="380">
          <v:shape id="_x0000_i1053" type="#_x0000_t75" style="width:126pt;height:18.75pt" o:ole="">
            <v:imagedata r:id="rId18" o:title=""/>
          </v:shape>
          <o:OLEObject Type="Embed" ProgID="Equation.DSMT4" ShapeID="_x0000_i1053" DrawAspect="Content" ObjectID="_1435054505" r:id="rId19"/>
        </w:object>
      </w:r>
      <w:r>
        <w:rPr>
          <w:rFonts w:ascii="Times" w:hAnsi="Times"/>
          <w:lang w:val="en-GB"/>
        </w:rPr>
        <w:t xml:space="preserve">, and likewise for the </w:t>
      </w:r>
      <w:r w:rsidRPr="003737FC">
        <w:rPr>
          <w:rFonts w:ascii="Times" w:hAnsi="Times"/>
          <w:i/>
          <w:lang w:val="en-GB"/>
        </w:rPr>
        <w:t>s</w:t>
      </w:r>
      <w:r>
        <w:rPr>
          <w:rFonts w:ascii="Times" w:hAnsi="Times"/>
          <w:lang w:val="en-GB"/>
        </w:rPr>
        <w:t xml:space="preserve"> gate. The equilibrium values</w:t>
      </w:r>
      <w:r w:rsidRPr="003F3F26">
        <w:rPr>
          <w:rFonts w:ascii="Times" w:hAnsi="Times"/>
          <w:lang w:val="en-GB"/>
        </w:rPr>
        <w:t xml:space="preserve"> and time-cons</w:t>
      </w:r>
      <w:r>
        <w:rPr>
          <w:rFonts w:ascii="Times" w:hAnsi="Times"/>
          <w:lang w:val="en-GB"/>
        </w:rPr>
        <w:t>tants can be</w:t>
      </w:r>
      <w:r w:rsidRPr="003F3F26">
        <w:rPr>
          <w:rFonts w:ascii="Times" w:hAnsi="Times"/>
          <w:lang w:val="en-GB"/>
        </w:rPr>
        <w:t xml:space="preserve"> Hill equations fitted to dose-response curves</w:t>
      </w:r>
      <w:r>
        <w:rPr>
          <w:rFonts w:ascii="Times" w:hAnsi="Times"/>
          <w:lang w:val="en-GB"/>
        </w:rPr>
        <w:t>,</w:t>
      </w:r>
      <w:r w:rsidRPr="003F3F26">
        <w:rPr>
          <w:rFonts w:ascii="Times" w:hAnsi="Times"/>
          <w:lang w:val="en-GB"/>
        </w:rPr>
        <w:t xml:space="preserve"> or be provided as tables. In this form, the two-gate model becomes equivalent to the Hodgkin-Huxley model for volt</w:t>
      </w:r>
      <w:r w:rsidR="00951EDB">
        <w:rPr>
          <w:rFonts w:ascii="Times" w:hAnsi="Times"/>
          <w:lang w:val="en-GB"/>
        </w:rPr>
        <w:t xml:space="preserve">age-gated </w:t>
      </w:r>
      <w:r w:rsidR="00951EDB">
        <w:rPr>
          <w:rFonts w:ascii="Times" w:hAnsi="Times"/>
          <w:lang w:val="en-GB"/>
        </w:rPr>
        <w:lastRenderedPageBreak/>
        <w:t>ion channels. Figure S</w:t>
      </w:r>
      <w:r w:rsidR="0001112A">
        <w:rPr>
          <w:rFonts w:ascii="Times" w:hAnsi="Times"/>
          <w:lang w:val="en-GB"/>
        </w:rPr>
        <w:t>4</w:t>
      </w:r>
      <w:r w:rsidRPr="003F3F26">
        <w:rPr>
          <w:rFonts w:ascii="Times" w:hAnsi="Times"/>
          <w:lang w:val="en-GB"/>
        </w:rPr>
        <w:t>E</w:t>
      </w:r>
      <w:r w:rsidR="00951EDB">
        <w:rPr>
          <w:rFonts w:ascii="Times" w:hAnsi="Times"/>
          <w:lang w:val="en-GB"/>
        </w:rPr>
        <w:t xml:space="preserve"> and F depict t</w:t>
      </w:r>
      <w:r w:rsidRPr="003F3F26">
        <w:rPr>
          <w:rFonts w:ascii="Times" w:hAnsi="Times"/>
          <w:lang w:val="en-GB"/>
        </w:rPr>
        <w:t xml:space="preserve">he steady-state and time-constant functions used for the </w:t>
      </w:r>
      <w:r w:rsidR="0001112A">
        <w:rPr>
          <w:rFonts w:ascii="Times" w:hAnsi="Times"/>
          <w:lang w:val="en-GB"/>
        </w:rPr>
        <w:t xml:space="preserve">activation and </w:t>
      </w:r>
      <w:r>
        <w:rPr>
          <w:rFonts w:ascii="Times" w:hAnsi="Times"/>
          <w:lang w:val="en-GB"/>
        </w:rPr>
        <w:t xml:space="preserve">sensitization gates of the </w:t>
      </w:r>
      <w:r w:rsidRPr="003F3F26">
        <w:rPr>
          <w:rFonts w:ascii="Times" w:hAnsi="Times"/>
          <w:lang w:val="en-GB"/>
        </w:rPr>
        <w:t>a7 nAChR.</w:t>
      </w:r>
    </w:p>
    <w:p w:rsidR="00882348" w:rsidRDefault="008E1945" w:rsidP="008E1945">
      <w:pPr>
        <w:spacing w:line="360" w:lineRule="auto"/>
        <w:ind w:firstLine="709"/>
        <w:jc w:val="both"/>
        <w:rPr>
          <w:rFonts w:ascii="Times" w:hAnsi="Times"/>
          <w:lang w:val="en-GB"/>
        </w:rPr>
      </w:pPr>
      <w:r w:rsidRPr="003F3F26">
        <w:rPr>
          <w:rFonts w:ascii="Times" w:hAnsi="Times"/>
          <w:lang w:val="en-GB"/>
        </w:rPr>
        <w:t xml:space="preserve">To compare the kinetics of the </w:t>
      </w:r>
      <w:r>
        <w:rPr>
          <w:rFonts w:ascii="Times" w:hAnsi="Times"/>
          <w:lang w:val="en-GB"/>
        </w:rPr>
        <w:t xml:space="preserve">present </w:t>
      </w:r>
      <w:r w:rsidRPr="003F3F26">
        <w:rPr>
          <w:rFonts w:ascii="Times" w:hAnsi="Times"/>
          <w:lang w:val="en-GB"/>
        </w:rPr>
        <w:t xml:space="preserve">two-gate model with that of the original Katz-Thesleff model, we </w:t>
      </w:r>
      <w:r>
        <w:rPr>
          <w:rFonts w:ascii="Times" w:hAnsi="Times"/>
          <w:lang w:val="en-GB"/>
        </w:rPr>
        <w:t>first re-</w:t>
      </w:r>
      <w:r w:rsidR="00520BF1">
        <w:rPr>
          <w:rFonts w:ascii="Times" w:hAnsi="Times"/>
          <w:lang w:val="en-GB"/>
        </w:rPr>
        <w:t xml:space="preserve">tuned the rate </w:t>
      </w:r>
      <w:r w:rsidRPr="003F3F26">
        <w:rPr>
          <w:rFonts w:ascii="Times" w:hAnsi="Times"/>
          <w:lang w:val="en-GB"/>
        </w:rPr>
        <w:t>const</w:t>
      </w:r>
      <w:r>
        <w:rPr>
          <w:rFonts w:ascii="Times" w:hAnsi="Times"/>
          <w:lang w:val="en-GB"/>
        </w:rPr>
        <w:t xml:space="preserve">ants of the Katz-Thesleff model implemented by </w:t>
      </w:r>
      <w:r w:rsidR="00D24C2D">
        <w:rPr>
          <w:rFonts w:ascii="Times" w:hAnsi="Times"/>
          <w:lang w:val="en-GB"/>
        </w:rPr>
        <w:fldChar w:fldCharType="begin">
          <w:fldData xml:space="preserve">PEVuZE5vdGU+PENpdGU+PEF1dGhvcj5QYXBrZTwvQXV0aG9yPjxZZWFyPjIwMTA8L1llYXI+PFJl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</w:fldData>
        </w:fldChar>
      </w:r>
      <w:r w:rsidR="00520BF1">
        <w:rPr>
          <w:rFonts w:ascii="Times" w:hAnsi="Times"/>
          <w:lang w:val="en-GB"/>
        </w:rPr>
        <w:instrText xml:space="preserve"> ADDIN EN.CITE </w:instrText>
      </w:r>
      <w:r w:rsidR="00D24C2D">
        <w:rPr>
          <w:rFonts w:ascii="Times" w:hAnsi="Times"/>
          <w:lang w:val="en-GB"/>
        </w:rPr>
        <w:fldChar w:fldCharType="begin">
          <w:fldData xml:space="preserve">PEVuZE5vdGU+PENpdGU+PEF1dGhvcj5QYXBrZTwvQXV0aG9yPjxZZWFyPjIwMTA8L1llYXI+PFJl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</w:fldData>
        </w:fldChar>
      </w:r>
      <w:r w:rsidR="00520BF1">
        <w:rPr>
          <w:rFonts w:ascii="Times" w:hAnsi="Times"/>
          <w:lang w:val="en-GB"/>
        </w:rPr>
        <w:instrText xml:space="preserve"> ADDIN EN.CITE.DATA </w:instrText>
      </w:r>
      <w:r w:rsidR="00D24C2D">
        <w:rPr>
          <w:rFonts w:ascii="Times" w:hAnsi="Times"/>
          <w:lang w:val="en-GB"/>
        </w:rPr>
      </w:r>
      <w:r w:rsidR="00D24C2D">
        <w:rPr>
          <w:rFonts w:ascii="Times" w:hAnsi="Times"/>
          <w:lang w:val="en-GB"/>
        </w:rPr>
        <w:fldChar w:fldCharType="end"/>
      </w:r>
      <w:r w:rsidR="00D24C2D">
        <w:rPr>
          <w:rFonts w:ascii="Times" w:hAnsi="Times"/>
          <w:lang w:val="en-GB"/>
        </w:rPr>
      </w:r>
      <w:r w:rsidR="00D24C2D">
        <w:rPr>
          <w:rFonts w:ascii="Times" w:hAnsi="Times"/>
          <w:lang w:val="en-GB"/>
        </w:rPr>
        <w:fldChar w:fldCharType="separate"/>
      </w:r>
      <w:r w:rsidR="00520BF1">
        <w:rPr>
          <w:rFonts w:ascii="Times" w:hAnsi="Times"/>
          <w:noProof/>
          <w:lang w:val="en-GB"/>
        </w:rPr>
        <w:t>(</w:t>
      </w:r>
      <w:hyperlink w:anchor="_ENREF_4" w:tooltip="Papke, 2010 #323" w:history="1">
        <w:r w:rsidR="00243A20">
          <w:rPr>
            <w:rFonts w:ascii="Times" w:hAnsi="Times"/>
            <w:noProof/>
            <w:lang w:val="en-GB"/>
          </w:rPr>
          <w:t>Papke, 2010</w:t>
        </w:r>
      </w:hyperlink>
      <w:r w:rsidR="00520BF1">
        <w:rPr>
          <w:rFonts w:ascii="Times" w:hAnsi="Times"/>
          <w:noProof/>
          <w:lang w:val="en-GB"/>
        </w:rPr>
        <w:t>)</w:t>
      </w:r>
      <w:r w:rsidR="00D24C2D">
        <w:rPr>
          <w:rFonts w:ascii="Times" w:hAnsi="Times"/>
          <w:lang w:val="en-GB"/>
        </w:rPr>
        <w:fldChar w:fldCharType="end"/>
      </w:r>
      <w:r>
        <w:rPr>
          <w:rFonts w:ascii="Times" w:hAnsi="Times"/>
          <w:lang w:val="en-GB"/>
        </w:rPr>
        <w:t xml:space="preserve"> (depicted in Fig.</w:t>
      </w:r>
      <w:r w:rsidR="00947158">
        <w:rPr>
          <w:rFonts w:ascii="Times" w:hAnsi="Times"/>
          <w:lang w:val="en-GB"/>
        </w:rPr>
        <w:t xml:space="preserve"> S</w:t>
      </w:r>
      <w:r w:rsidR="0001112A">
        <w:rPr>
          <w:rFonts w:ascii="Times" w:hAnsi="Times"/>
          <w:lang w:val="en-GB"/>
        </w:rPr>
        <w:t>5</w:t>
      </w:r>
      <w:r w:rsidRPr="003F3F26">
        <w:rPr>
          <w:rFonts w:ascii="Times" w:hAnsi="Times"/>
          <w:lang w:val="en-GB"/>
        </w:rPr>
        <w:t>A</w:t>
      </w:r>
      <w:r>
        <w:rPr>
          <w:rFonts w:ascii="Times" w:hAnsi="Times"/>
          <w:lang w:val="en-GB"/>
        </w:rPr>
        <w:t>)</w:t>
      </w:r>
      <w:r w:rsidRPr="003F3F26">
        <w:rPr>
          <w:rFonts w:ascii="Times" w:hAnsi="Times"/>
          <w:lang w:val="en-GB"/>
        </w:rPr>
        <w:t xml:space="preserve">, </w:t>
      </w:r>
      <w:r>
        <w:rPr>
          <w:rFonts w:ascii="Times" w:hAnsi="Times"/>
          <w:lang w:val="en-GB"/>
        </w:rPr>
        <w:t>so as to fit</w:t>
      </w:r>
      <w:r w:rsidRPr="003F3F26">
        <w:rPr>
          <w:rFonts w:ascii="Times" w:hAnsi="Times"/>
          <w:lang w:val="en-GB"/>
        </w:rPr>
        <w:t xml:space="preserve"> the response </w:t>
      </w:r>
      <w:r>
        <w:rPr>
          <w:rFonts w:ascii="Times" w:hAnsi="Times"/>
          <w:lang w:val="en-GB"/>
        </w:rPr>
        <w:t xml:space="preserve">of the two-gate model </w:t>
      </w:r>
      <w:r w:rsidRPr="003F3F26">
        <w:rPr>
          <w:rFonts w:ascii="Times" w:hAnsi="Times"/>
          <w:lang w:val="en-GB"/>
        </w:rPr>
        <w:t xml:space="preserve">to a step application of 100 </w:t>
      </w:r>
      <w:r w:rsidRPr="003F3F26">
        <w:rPr>
          <w:rFonts w:ascii="Symbol" w:hAnsi="Symbol"/>
          <w:lang w:val="en-GB"/>
        </w:rPr>
        <w:t></w:t>
      </w:r>
      <w:r w:rsidRPr="003F3F26">
        <w:rPr>
          <w:rFonts w:ascii="Times" w:hAnsi="Times"/>
          <w:lang w:val="en-GB"/>
        </w:rPr>
        <w:t>M ACh</w:t>
      </w:r>
      <w:r w:rsidR="00947158">
        <w:rPr>
          <w:rFonts w:ascii="Times" w:hAnsi="Times"/>
          <w:lang w:val="en-GB"/>
        </w:rPr>
        <w:t xml:space="preserve"> (see Fig. S</w:t>
      </w:r>
      <w:r w:rsidR="0001112A">
        <w:rPr>
          <w:rFonts w:ascii="Times" w:hAnsi="Times"/>
          <w:lang w:val="en-GB"/>
        </w:rPr>
        <w:t>5</w:t>
      </w:r>
      <w:r>
        <w:rPr>
          <w:rFonts w:ascii="Times" w:hAnsi="Times"/>
          <w:lang w:val="en-GB"/>
        </w:rPr>
        <w:t>B, left lower panel). We then compared, using the same parameter values, the response traces to other agonist concen</w:t>
      </w:r>
      <w:r w:rsidR="00947158">
        <w:rPr>
          <w:rFonts w:ascii="Times" w:hAnsi="Times"/>
          <w:lang w:val="en-GB"/>
        </w:rPr>
        <w:t>trations (other panels in Fig. S</w:t>
      </w:r>
      <w:r w:rsidR="0001112A">
        <w:rPr>
          <w:rFonts w:ascii="Times" w:hAnsi="Times"/>
          <w:lang w:val="en-GB"/>
        </w:rPr>
        <w:t>5</w:t>
      </w:r>
      <w:r>
        <w:rPr>
          <w:rFonts w:ascii="Times" w:hAnsi="Times"/>
          <w:lang w:val="en-GB"/>
        </w:rPr>
        <w:t>B). Residual differences between the traces, especially in the rate of desensitization, w</w:t>
      </w:r>
      <w:r w:rsidR="0001112A">
        <w:rPr>
          <w:rFonts w:ascii="Times" w:hAnsi="Times"/>
          <w:lang w:val="en-GB"/>
        </w:rPr>
        <w:t xml:space="preserve">ere due to cooperation in the </w:t>
      </w:r>
      <w:r>
        <w:rPr>
          <w:rFonts w:ascii="Times" w:hAnsi="Times"/>
          <w:lang w:val="en-GB"/>
        </w:rPr>
        <w:t xml:space="preserve">sentization gate of the two-gate model (Hill coefficient of 2), not accounted for in the modeled </w:t>
      </w:r>
      <w:r w:rsidRPr="003F3F26">
        <w:rPr>
          <w:rFonts w:ascii="Times" w:hAnsi="Times"/>
          <w:lang w:val="en-GB"/>
        </w:rPr>
        <w:t>Katz-Thesleff</w:t>
      </w:r>
      <w:r>
        <w:rPr>
          <w:rFonts w:ascii="Times" w:hAnsi="Times"/>
          <w:lang w:val="en-GB"/>
        </w:rPr>
        <w:t xml:space="preserve"> kinetic scheme. </w:t>
      </w:r>
      <w:r w:rsidRPr="003F3F26">
        <w:rPr>
          <w:rFonts w:ascii="Times" w:hAnsi="Times"/>
          <w:lang w:val="en-GB"/>
        </w:rPr>
        <w:t xml:space="preserve"> </w:t>
      </w:r>
    </w:p>
    <w:p w:rsidR="008E1945" w:rsidRDefault="008E1945" w:rsidP="008E1945">
      <w:pPr>
        <w:spacing w:line="360" w:lineRule="auto"/>
        <w:ind w:firstLine="709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To conclude, the two-gate model is generic and flexible because its parameters can take the form of dose-response curves, which is the format experimental data are most often presented in. At the same time, it retains most of the kinetics of the Katz-Thesleff model, such as</w:t>
      </w:r>
      <w:r w:rsidRPr="003F3F26">
        <w:rPr>
          <w:rFonts w:ascii="Times" w:hAnsi="Times"/>
          <w:lang w:val="en-GB"/>
        </w:rPr>
        <w:t xml:space="preserve"> the concentration-dependent </w:t>
      </w:r>
      <w:r w:rsidR="00791C16">
        <w:rPr>
          <w:rFonts w:ascii="Times" w:hAnsi="Times"/>
          <w:lang w:val="en-GB"/>
        </w:rPr>
        <w:t>transition rate</w:t>
      </w:r>
      <w:r>
        <w:rPr>
          <w:rFonts w:ascii="Times" w:hAnsi="Times"/>
          <w:lang w:val="en-GB"/>
        </w:rPr>
        <w:t xml:space="preserve"> enhancement </w:t>
      </w:r>
      <w:r w:rsidRPr="003F3F26">
        <w:rPr>
          <w:rFonts w:ascii="Times" w:hAnsi="Times"/>
          <w:lang w:val="en-GB"/>
        </w:rPr>
        <w:t>of acti</w:t>
      </w:r>
      <w:r>
        <w:rPr>
          <w:rFonts w:ascii="Times" w:hAnsi="Times"/>
          <w:lang w:val="en-GB"/>
        </w:rPr>
        <w:t xml:space="preserve">vation and desensitization, </w:t>
      </w:r>
      <w:r w:rsidRPr="003F3F26">
        <w:rPr>
          <w:rFonts w:ascii="Times" w:hAnsi="Times"/>
          <w:lang w:val="en-GB"/>
        </w:rPr>
        <w:t xml:space="preserve">the stronger binding of agonist </w:t>
      </w:r>
      <w:r>
        <w:rPr>
          <w:rFonts w:ascii="Times" w:hAnsi="Times"/>
          <w:lang w:val="en-GB"/>
        </w:rPr>
        <w:t>(higher affinity)</w:t>
      </w:r>
      <w:r w:rsidRPr="003F3F26">
        <w:rPr>
          <w:rFonts w:ascii="Times" w:hAnsi="Times"/>
          <w:lang w:val="en-GB"/>
        </w:rPr>
        <w:t xml:space="preserve"> to receptors</w:t>
      </w:r>
      <w:r>
        <w:rPr>
          <w:rFonts w:ascii="Times" w:hAnsi="Times"/>
          <w:lang w:val="en-GB"/>
        </w:rPr>
        <w:t xml:space="preserve"> in the desensitized state, and the preferential desensitization of receptors from the open state</w:t>
      </w:r>
      <w:r w:rsidRPr="003F3F26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>The latter characteristic is a consequence of the fact that the two gates, although formally independent, are anticorrelated by the shapes of their dose-response functions.</w:t>
      </w:r>
    </w:p>
    <w:p w:rsidR="008E1945" w:rsidRDefault="008E1945" w:rsidP="008E1945">
      <w:pPr>
        <w:spacing w:line="360" w:lineRule="auto"/>
        <w:jc w:val="both"/>
        <w:rPr>
          <w:rFonts w:ascii="Times" w:hAnsi="Times"/>
          <w:lang w:val="en-GB"/>
        </w:rPr>
      </w:pPr>
    </w:p>
    <w:p w:rsidR="008E1945" w:rsidRPr="00947158" w:rsidRDefault="008E1945" w:rsidP="008E1945">
      <w:pPr>
        <w:spacing w:line="360" w:lineRule="auto"/>
        <w:jc w:val="both"/>
        <w:rPr>
          <w:rFonts w:ascii="Times" w:hAnsi="Times"/>
          <w:b/>
          <w:sz w:val="28"/>
          <w:szCs w:val="28"/>
          <w:lang w:val="en-GB"/>
        </w:rPr>
      </w:pPr>
      <w:r w:rsidRPr="00947158">
        <w:rPr>
          <w:rFonts w:ascii="Times" w:hAnsi="Times"/>
          <w:b/>
          <w:sz w:val="28"/>
          <w:szCs w:val="28"/>
          <w:lang w:val="en-GB"/>
        </w:rPr>
        <w:t>References</w:t>
      </w:r>
    </w:p>
    <w:p w:rsidR="00243A20" w:rsidRPr="00243A20" w:rsidRDefault="00D24C2D" w:rsidP="00243A20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r>
        <w:rPr>
          <w:rFonts w:ascii="Times" w:hAnsi="Times"/>
          <w:lang w:val="en-GB"/>
        </w:rPr>
        <w:fldChar w:fldCharType="begin"/>
      </w:r>
      <w:r w:rsidR="00836ED5">
        <w:rPr>
          <w:rFonts w:ascii="Times" w:hAnsi="Times"/>
          <w:lang w:val="en-GB"/>
        </w:rPr>
        <w:instrText xml:space="preserve"> ADDIN EN.REFLIST </w:instrText>
      </w:r>
      <w:r>
        <w:rPr>
          <w:rFonts w:ascii="Times" w:hAnsi="Times"/>
          <w:lang w:val="en-GB"/>
        </w:rPr>
        <w:fldChar w:fldCharType="separate"/>
      </w:r>
      <w:bookmarkStart w:id="0" w:name="_ENREF_1"/>
      <w:r w:rsidR="00243A20" w:rsidRPr="00243A20">
        <w:rPr>
          <w:rFonts w:ascii="Times New Roman" w:hAnsi="Times New Roman"/>
          <w:noProof/>
          <w:lang w:val="en-GB"/>
        </w:rPr>
        <w:t xml:space="preserve">Auerbach, A, &amp; Akk, G. (1998). Desensitization of mouse nicotinic acetylcholine receptor channels. A two-gate mechanism. </w:t>
      </w:r>
      <w:r w:rsidR="00243A20" w:rsidRPr="00243A20">
        <w:rPr>
          <w:rFonts w:ascii="Times New Roman" w:hAnsi="Times New Roman"/>
          <w:i/>
          <w:noProof/>
          <w:lang w:val="en-GB"/>
        </w:rPr>
        <w:t>J Gen Physiol, 112</w:t>
      </w:r>
      <w:r w:rsidR="00243A20" w:rsidRPr="00243A20">
        <w:rPr>
          <w:rFonts w:ascii="Times New Roman" w:hAnsi="Times New Roman"/>
          <w:noProof/>
          <w:lang w:val="en-GB"/>
        </w:rPr>
        <w:t xml:space="preserve">, 181-197. </w:t>
      </w:r>
      <w:bookmarkEnd w:id="0"/>
    </w:p>
    <w:p w:rsidR="00243A20" w:rsidRPr="00243A20" w:rsidRDefault="00243A20" w:rsidP="00243A20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1" w:name="_ENREF_2"/>
      <w:r w:rsidRPr="00243A20">
        <w:rPr>
          <w:rFonts w:ascii="Times New Roman" w:hAnsi="Times New Roman"/>
          <w:noProof/>
          <w:lang w:val="en-GB"/>
        </w:rPr>
        <w:t xml:space="preserve">Demazumder, D., &amp; Dilger, J. P. (2001). The kinetics of competitive antagonism by cisatracurium of embryonic and adult nicotinic acetylcholine receptors. </w:t>
      </w:r>
      <w:r w:rsidRPr="00243A20">
        <w:rPr>
          <w:rFonts w:ascii="Times New Roman" w:hAnsi="Times New Roman"/>
          <w:i/>
          <w:noProof/>
          <w:lang w:val="en-GB"/>
        </w:rPr>
        <w:t>Mol Pharmacol, 60</w:t>
      </w:r>
      <w:r w:rsidRPr="00243A20">
        <w:rPr>
          <w:rFonts w:ascii="Times New Roman" w:hAnsi="Times New Roman"/>
          <w:noProof/>
          <w:lang w:val="en-GB"/>
        </w:rPr>
        <w:t xml:space="preserve">(4), 797-807. </w:t>
      </w:r>
      <w:bookmarkEnd w:id="1"/>
    </w:p>
    <w:p w:rsidR="00243A20" w:rsidRPr="00243A20" w:rsidRDefault="00243A20" w:rsidP="00243A20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2" w:name="_ENREF_3"/>
      <w:r w:rsidRPr="00243A20">
        <w:rPr>
          <w:rFonts w:ascii="Times New Roman" w:hAnsi="Times New Roman"/>
          <w:noProof/>
          <w:lang w:val="en-GB"/>
        </w:rPr>
        <w:t xml:space="preserve">Katz, B., &amp; Thesleff, S. (1957). A study of the desensitization produced by acetylcholine at the motor end-plate. </w:t>
      </w:r>
      <w:r w:rsidRPr="00243A20">
        <w:rPr>
          <w:rFonts w:ascii="Times New Roman" w:hAnsi="Times New Roman"/>
          <w:i/>
          <w:noProof/>
          <w:lang w:val="en-GB"/>
        </w:rPr>
        <w:t>J Physiol, 138</w:t>
      </w:r>
      <w:r w:rsidRPr="00243A20">
        <w:rPr>
          <w:rFonts w:ascii="Times New Roman" w:hAnsi="Times New Roman"/>
          <w:noProof/>
          <w:lang w:val="en-GB"/>
        </w:rPr>
        <w:t xml:space="preserve">(1), 63-80. </w:t>
      </w:r>
      <w:bookmarkEnd w:id="2"/>
    </w:p>
    <w:p w:rsidR="00243A20" w:rsidRPr="00243A20" w:rsidRDefault="00243A20" w:rsidP="00243A20">
      <w:pPr>
        <w:ind w:left="720" w:hanging="720"/>
        <w:jc w:val="both"/>
        <w:rPr>
          <w:rFonts w:ascii="Times New Roman" w:hAnsi="Times New Roman"/>
          <w:noProof/>
          <w:lang w:val="en-GB"/>
        </w:rPr>
      </w:pPr>
      <w:bookmarkStart w:id="3" w:name="_ENREF_4"/>
      <w:r w:rsidRPr="00243A20">
        <w:rPr>
          <w:rFonts w:ascii="Times New Roman" w:hAnsi="Times New Roman"/>
          <w:noProof/>
          <w:lang w:val="en-GB"/>
        </w:rPr>
        <w:t xml:space="preserve">Papke, R. L. (2010). Tricks of perspective: insights and limitations to the study of macroscopic currents for the analysis of nAChR activation and desensitization. </w:t>
      </w:r>
      <w:r w:rsidRPr="00243A20">
        <w:rPr>
          <w:rFonts w:ascii="Times New Roman" w:hAnsi="Times New Roman"/>
          <w:i/>
          <w:noProof/>
          <w:lang w:val="en-GB"/>
        </w:rPr>
        <w:t>J Mol Neurosci, 40</w:t>
      </w:r>
      <w:r w:rsidRPr="00243A20">
        <w:rPr>
          <w:rFonts w:ascii="Times New Roman" w:hAnsi="Times New Roman"/>
          <w:noProof/>
          <w:lang w:val="en-GB"/>
        </w:rPr>
        <w:t>(1-2), 77-86. doi: 10.1007/s12031-009-9261-0</w:t>
      </w:r>
      <w:bookmarkEnd w:id="3"/>
    </w:p>
    <w:p w:rsidR="00243A20" w:rsidRDefault="00243A20" w:rsidP="00243A20">
      <w:pPr>
        <w:jc w:val="both"/>
        <w:rPr>
          <w:rFonts w:ascii="Times New Roman" w:hAnsi="Times New Roman"/>
          <w:noProof/>
          <w:lang w:val="en-GB"/>
        </w:rPr>
      </w:pPr>
    </w:p>
    <w:p w:rsidR="00B70A33" w:rsidRDefault="00D24C2D" w:rsidP="00B70A33">
      <w:pPr>
        <w:spacing w:line="360" w:lineRule="auto"/>
        <w:jc w:val="both"/>
        <w:rPr>
          <w:rFonts w:ascii="Times" w:hAnsi="Times"/>
          <w:b/>
          <w:sz w:val="28"/>
          <w:szCs w:val="28"/>
          <w:lang w:val="en-GB"/>
        </w:rPr>
      </w:pPr>
      <w:r>
        <w:rPr>
          <w:rFonts w:ascii="Times" w:hAnsi="Times"/>
          <w:lang w:val="en-GB"/>
        </w:rPr>
        <w:fldChar w:fldCharType="end"/>
      </w:r>
      <w:r w:rsidR="00B70A33" w:rsidRPr="00B70A33">
        <w:rPr>
          <w:rFonts w:ascii="Times" w:hAnsi="Times"/>
          <w:b/>
          <w:sz w:val="28"/>
          <w:szCs w:val="28"/>
          <w:lang w:val="en-GB"/>
        </w:rPr>
        <w:t xml:space="preserve"> </w:t>
      </w:r>
    </w:p>
    <w:p w:rsidR="00B70A33" w:rsidRDefault="00B70A33" w:rsidP="00B70A33">
      <w:pPr>
        <w:spacing w:line="360" w:lineRule="auto"/>
        <w:jc w:val="both"/>
        <w:rPr>
          <w:rFonts w:ascii="Times" w:hAnsi="Times"/>
          <w:b/>
          <w:sz w:val="28"/>
          <w:szCs w:val="28"/>
          <w:lang w:val="en-GB"/>
        </w:rPr>
      </w:pPr>
    </w:p>
    <w:sectPr w:rsidR="00B70A33" w:rsidSect="008E1945">
      <w:headerReference w:type="even" r:id="rId20"/>
      <w:headerReference w:type="default" r:id="rId2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40" w:rsidRDefault="002C3040" w:rsidP="00A54915">
      <w:r>
        <w:separator/>
      </w:r>
    </w:p>
  </w:endnote>
  <w:endnote w:type="continuationSeparator" w:id="0">
    <w:p w:rsidR="002C3040" w:rsidRDefault="002C3040" w:rsidP="00A5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40" w:rsidRDefault="002C3040" w:rsidP="00A54915">
      <w:r>
        <w:separator/>
      </w:r>
    </w:p>
  </w:footnote>
  <w:footnote w:type="continuationSeparator" w:id="0">
    <w:p w:rsidR="002C3040" w:rsidRDefault="002C3040" w:rsidP="00A5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A" w:rsidRDefault="00D24C2D" w:rsidP="008E19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1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12A" w:rsidRDefault="0001112A" w:rsidP="008E19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2A" w:rsidRDefault="00D24C2D" w:rsidP="008E19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1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610">
      <w:rPr>
        <w:rStyle w:val="PageNumber"/>
        <w:noProof/>
      </w:rPr>
      <w:t>2</w:t>
    </w:r>
    <w:r>
      <w:rPr>
        <w:rStyle w:val="PageNumber"/>
      </w:rPr>
      <w:fldChar w:fldCharType="end"/>
    </w:r>
  </w:p>
  <w:p w:rsidR="0001112A" w:rsidRDefault="0001112A" w:rsidP="008E194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psvwzvzaa0whewxd7verf0asx00v2zt22z&quot;&gt;nicotine&lt;record-ids&gt;&lt;item&gt;113&lt;/item&gt;&lt;item&gt;280&lt;/item&gt;&lt;item&gt;322&lt;/item&gt;&lt;item&gt;323&lt;/item&gt;&lt;/record-ids&gt;&lt;/item&gt;&lt;/Libraries&gt;"/>
  </w:docVars>
  <w:rsids>
    <w:rsidRoot w:val="0004339D"/>
    <w:rsid w:val="0001112A"/>
    <w:rsid w:val="00022C3C"/>
    <w:rsid w:val="00023A3E"/>
    <w:rsid w:val="0004339D"/>
    <w:rsid w:val="00060038"/>
    <w:rsid w:val="00097029"/>
    <w:rsid w:val="000972D6"/>
    <w:rsid w:val="000E0A06"/>
    <w:rsid w:val="001A70D7"/>
    <w:rsid w:val="001C0F78"/>
    <w:rsid w:val="00243A20"/>
    <w:rsid w:val="0029272D"/>
    <w:rsid w:val="002C3040"/>
    <w:rsid w:val="002F000F"/>
    <w:rsid w:val="002F01EF"/>
    <w:rsid w:val="002F5681"/>
    <w:rsid w:val="00323329"/>
    <w:rsid w:val="00344951"/>
    <w:rsid w:val="00392249"/>
    <w:rsid w:val="003A15F0"/>
    <w:rsid w:val="003B6610"/>
    <w:rsid w:val="003E6C89"/>
    <w:rsid w:val="004328D4"/>
    <w:rsid w:val="00447F9B"/>
    <w:rsid w:val="00471F30"/>
    <w:rsid w:val="00473CC5"/>
    <w:rsid w:val="004F5C1D"/>
    <w:rsid w:val="00520BF1"/>
    <w:rsid w:val="00522B36"/>
    <w:rsid w:val="005251FD"/>
    <w:rsid w:val="005634B6"/>
    <w:rsid w:val="005811DA"/>
    <w:rsid w:val="00582E4D"/>
    <w:rsid w:val="005A7E2B"/>
    <w:rsid w:val="005B2CAA"/>
    <w:rsid w:val="005C580B"/>
    <w:rsid w:val="005D3C6E"/>
    <w:rsid w:val="005E1AA1"/>
    <w:rsid w:val="005E3C35"/>
    <w:rsid w:val="006005B3"/>
    <w:rsid w:val="00645CD4"/>
    <w:rsid w:val="006815BA"/>
    <w:rsid w:val="006B0508"/>
    <w:rsid w:val="00717385"/>
    <w:rsid w:val="0076778C"/>
    <w:rsid w:val="0077704B"/>
    <w:rsid w:val="00791C16"/>
    <w:rsid w:val="007A1532"/>
    <w:rsid w:val="00806135"/>
    <w:rsid w:val="00822E67"/>
    <w:rsid w:val="00836ED5"/>
    <w:rsid w:val="00852727"/>
    <w:rsid w:val="00882348"/>
    <w:rsid w:val="008E1945"/>
    <w:rsid w:val="008F0F07"/>
    <w:rsid w:val="00924062"/>
    <w:rsid w:val="0093449F"/>
    <w:rsid w:val="009456E6"/>
    <w:rsid w:val="00947158"/>
    <w:rsid w:val="00951EDB"/>
    <w:rsid w:val="0095638B"/>
    <w:rsid w:val="009856BC"/>
    <w:rsid w:val="009D061D"/>
    <w:rsid w:val="009E7D7B"/>
    <w:rsid w:val="00A019A1"/>
    <w:rsid w:val="00A543CE"/>
    <w:rsid w:val="00A54915"/>
    <w:rsid w:val="00A63B30"/>
    <w:rsid w:val="00A71655"/>
    <w:rsid w:val="00A84FFE"/>
    <w:rsid w:val="00AE4A9C"/>
    <w:rsid w:val="00B11271"/>
    <w:rsid w:val="00B1701F"/>
    <w:rsid w:val="00B45AA6"/>
    <w:rsid w:val="00B70A33"/>
    <w:rsid w:val="00B7465C"/>
    <w:rsid w:val="00BD2C83"/>
    <w:rsid w:val="00BD3E0A"/>
    <w:rsid w:val="00C73407"/>
    <w:rsid w:val="00C866AF"/>
    <w:rsid w:val="00C86CA7"/>
    <w:rsid w:val="00CF12BE"/>
    <w:rsid w:val="00CF61D9"/>
    <w:rsid w:val="00D048AB"/>
    <w:rsid w:val="00D056DD"/>
    <w:rsid w:val="00D0603B"/>
    <w:rsid w:val="00D17231"/>
    <w:rsid w:val="00D24C2D"/>
    <w:rsid w:val="00D4644B"/>
    <w:rsid w:val="00D55F1F"/>
    <w:rsid w:val="00D90A22"/>
    <w:rsid w:val="00DE0DB6"/>
    <w:rsid w:val="00DE2159"/>
    <w:rsid w:val="00E045AE"/>
    <w:rsid w:val="00E33C9D"/>
    <w:rsid w:val="00E703E9"/>
    <w:rsid w:val="00EB34A6"/>
    <w:rsid w:val="00ED7A38"/>
    <w:rsid w:val="00EE28F5"/>
    <w:rsid w:val="00F002B6"/>
    <w:rsid w:val="00F0311F"/>
    <w:rsid w:val="00F731B4"/>
    <w:rsid w:val="00FB06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27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5491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Times" w:eastAsia="Times New Roman" w:hAnsi="Times" w:cs="Times"/>
      <w:b/>
      <w:bCs/>
      <w:noProof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4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7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E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7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EB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7EB0"/>
  </w:style>
  <w:style w:type="character" w:styleId="Hyperlink">
    <w:name w:val="Hyperlink"/>
    <w:basedOn w:val="DefaultParagraphFont"/>
    <w:rsid w:val="00A549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54915"/>
    <w:rPr>
      <w:rFonts w:ascii="Times" w:eastAsia="Times New Roman" w:hAnsi="Times" w:cs="Times"/>
      <w:b/>
      <w:bCs/>
      <w:noProof/>
      <w:sz w:val="32"/>
      <w:szCs w:val="32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54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0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1. Receptor currents for different activation/sensitization realizations</vt:lpstr>
      <vt:lpstr>    We here investigate in more detail the α4β2 nAChR mediated current for different</vt:lpstr>
      <vt:lpstr>    </vt:lpstr>
      <vt:lpstr>    2. From the cyclic Katz-Thesleff model to the two-gate model</vt:lpstr>
    </vt:vector>
  </TitlesOfParts>
  <Company>UH</Company>
  <LinksUpToDate>false</LinksUpToDate>
  <CharactersWithSpaces>6343</CharactersWithSpaces>
  <SharedDoc>false</SharedDoc>
  <HLinks>
    <vt:vector size="24" baseType="variant">
      <vt:variant>
        <vt:i4>4390923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mailto:michael.graupner@nyu.edu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Maex</dc:creator>
  <cp:keywords/>
  <cp:lastModifiedBy>Michael Graupner</cp:lastModifiedBy>
  <cp:revision>8</cp:revision>
  <cp:lastPrinted>2013-06-19T20:33:00Z</cp:lastPrinted>
  <dcterms:created xsi:type="dcterms:W3CDTF">2013-07-11T15:02:00Z</dcterms:created>
  <dcterms:modified xsi:type="dcterms:W3CDTF">2013-07-11T16:57:00Z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