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9E" w:rsidRPr="00C96057" w:rsidRDefault="0092399E" w:rsidP="0092399E">
      <w:pPr>
        <w:widowControl/>
        <w:jc w:val="both"/>
        <w:rPr>
          <w:rFonts w:ascii="Times New Roman" w:hAnsi="Times New Roman" w:cs="Times New Roman"/>
          <w:szCs w:val="24"/>
        </w:rPr>
      </w:pPr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>Table S</w:t>
      </w:r>
      <w:r>
        <w:rPr>
          <w:rFonts w:ascii="Times New Roman" w:hAnsi="Times New Roman" w:cs="Times New Roman" w:hint="eastAsia"/>
          <w:bCs/>
          <w:kern w:val="0"/>
          <w:szCs w:val="24"/>
        </w:rPr>
        <w:t>5</w:t>
      </w:r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. </w:t>
      </w:r>
      <w:proofErr w:type="gramStart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Distribution of </w:t>
      </w:r>
      <w:r w:rsidRPr="00C96057">
        <w:rPr>
          <w:rFonts w:ascii="Times New Roman" w:eastAsia="Times New Roman" w:hAnsi="Times New Roman" w:cs="Times New Roman"/>
          <w:bCs/>
          <w:kern w:val="0"/>
          <w:szCs w:val="24"/>
        </w:rPr>
        <w:t>SNP</w:t>
      </w:r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-containing </w:t>
      </w:r>
      <w:proofErr w:type="spellStart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>NFκB</w:t>
      </w:r>
      <w:proofErr w:type="spellEnd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 binding sites.</w:t>
      </w:r>
      <w:proofErr w:type="gramEnd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 The numbers of </w:t>
      </w:r>
      <w:proofErr w:type="spellStart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>NFκB</w:t>
      </w:r>
      <w:proofErr w:type="spellEnd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 binding sites that contain polymorphic nucleotides between two individuals are summarized. Depending on whether these polymorphic nucleotides generated differences in </w:t>
      </w:r>
      <w:proofErr w:type="spellStart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>NFκB</w:t>
      </w:r>
      <w:proofErr w:type="spellEnd"/>
      <w:r w:rsidRPr="002C5C29">
        <w:rPr>
          <w:rFonts w:ascii="Times New Roman" w:eastAsia="Times New Roman" w:hAnsi="Times New Roman" w:cs="Times New Roman"/>
          <w:bCs/>
          <w:kern w:val="0"/>
          <w:szCs w:val="24"/>
        </w:rPr>
        <w:t xml:space="preserve"> binding intensities, these SNP-containing binding sites are separately counted. </w:t>
      </w:r>
      <w:r w:rsidRPr="00C96057">
        <w:rPr>
          <w:rFonts w:ascii="Times New Roman" w:hAnsi="Times New Roman" w:cs="Times New Roman"/>
          <w:szCs w:val="24"/>
        </w:rPr>
        <w:t xml:space="preserve">DSDB: </w:t>
      </w:r>
      <w:r w:rsidRPr="00F3288C">
        <w:rPr>
          <w:rFonts w:ascii="Times New Roman" w:hAnsi="Times New Roman" w:cs="Times New Roman"/>
          <w:bCs/>
          <w:szCs w:val="24"/>
          <w:u w:val="single"/>
        </w:rPr>
        <w:t>D</w:t>
      </w:r>
      <w:r w:rsidRPr="00F3288C">
        <w:rPr>
          <w:rFonts w:ascii="Times New Roman" w:hAnsi="Times New Roman" w:cs="Times New Roman"/>
          <w:bCs/>
          <w:szCs w:val="24"/>
        </w:rPr>
        <w:t xml:space="preserve">ifferent </w:t>
      </w:r>
      <w:r>
        <w:rPr>
          <w:rFonts w:ascii="Times New Roman" w:hAnsi="Times New Roman" w:cs="Times New Roman"/>
          <w:bCs/>
          <w:szCs w:val="24"/>
          <w:u w:val="single"/>
        </w:rPr>
        <w:t>S</w:t>
      </w:r>
      <w:r>
        <w:rPr>
          <w:rFonts w:ascii="Times New Roman" w:hAnsi="Times New Roman" w:cs="Times New Roman"/>
          <w:bCs/>
          <w:szCs w:val="24"/>
        </w:rPr>
        <w:t xml:space="preserve">equence </w:t>
      </w:r>
      <w:r>
        <w:rPr>
          <w:rFonts w:ascii="Times New Roman" w:hAnsi="Times New Roman" w:cs="Times New Roman"/>
          <w:bCs/>
          <w:szCs w:val="24"/>
          <w:u w:val="single"/>
        </w:rPr>
        <w:t>D</w:t>
      </w:r>
      <w:r>
        <w:rPr>
          <w:rFonts w:ascii="Times New Roman" w:hAnsi="Times New Roman" w:cs="Times New Roman"/>
          <w:bCs/>
          <w:szCs w:val="24"/>
        </w:rPr>
        <w:t xml:space="preserve">ifferent </w:t>
      </w:r>
      <w:r>
        <w:rPr>
          <w:rFonts w:ascii="Times New Roman" w:hAnsi="Times New Roman" w:cs="Times New Roman"/>
          <w:bCs/>
          <w:szCs w:val="24"/>
          <w:u w:val="single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inding. </w:t>
      </w:r>
      <w:r>
        <w:rPr>
          <w:rFonts w:ascii="Times New Roman" w:hAnsi="Times New Roman" w:cs="Times New Roman"/>
          <w:szCs w:val="24"/>
        </w:rPr>
        <w:t>DSNDB:</w:t>
      </w: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u w:val="single"/>
        </w:rPr>
        <w:t>D</w:t>
      </w:r>
      <w:r>
        <w:rPr>
          <w:rFonts w:ascii="Times New Roman" w:hAnsi="Times New Roman" w:cs="Times New Roman"/>
          <w:bCs/>
          <w:szCs w:val="24"/>
        </w:rPr>
        <w:t xml:space="preserve">ifferent </w:t>
      </w:r>
      <w:r>
        <w:rPr>
          <w:rFonts w:ascii="Times New Roman" w:hAnsi="Times New Roman" w:cs="Times New Roman"/>
          <w:bCs/>
          <w:szCs w:val="24"/>
          <w:u w:val="single"/>
        </w:rPr>
        <w:t>S</w:t>
      </w:r>
      <w:r>
        <w:rPr>
          <w:rFonts w:ascii="Times New Roman" w:hAnsi="Times New Roman" w:cs="Times New Roman"/>
          <w:bCs/>
          <w:szCs w:val="24"/>
        </w:rPr>
        <w:t xml:space="preserve">equence </w:t>
      </w:r>
      <w:r>
        <w:rPr>
          <w:rFonts w:ascii="Times New Roman" w:hAnsi="Times New Roman" w:cs="Times New Roman"/>
          <w:bCs/>
          <w:szCs w:val="24"/>
          <w:u w:val="single"/>
        </w:rPr>
        <w:t>N</w:t>
      </w:r>
      <w:r>
        <w:rPr>
          <w:rFonts w:ascii="Times New Roman" w:hAnsi="Times New Roman" w:cs="Times New Roman"/>
          <w:bCs/>
          <w:szCs w:val="24"/>
        </w:rPr>
        <w:t xml:space="preserve">o </w:t>
      </w:r>
      <w:r>
        <w:rPr>
          <w:rFonts w:ascii="Times New Roman" w:hAnsi="Times New Roman" w:cs="Times New Roman"/>
          <w:bCs/>
          <w:szCs w:val="24"/>
          <w:u w:val="single"/>
        </w:rPr>
        <w:t>D</w:t>
      </w:r>
      <w:r>
        <w:rPr>
          <w:rFonts w:ascii="Times New Roman" w:hAnsi="Times New Roman" w:cs="Times New Roman"/>
          <w:bCs/>
          <w:szCs w:val="24"/>
        </w:rPr>
        <w:t xml:space="preserve">ifference in </w:t>
      </w:r>
      <w:r>
        <w:rPr>
          <w:rFonts w:ascii="Times New Roman" w:hAnsi="Times New Roman" w:cs="Times New Roman"/>
          <w:bCs/>
          <w:szCs w:val="24"/>
          <w:u w:val="single"/>
        </w:rPr>
        <w:t>B</w:t>
      </w:r>
      <w:r>
        <w:rPr>
          <w:rFonts w:ascii="Times New Roman" w:hAnsi="Times New Roman" w:cs="Times New Roman"/>
          <w:bCs/>
          <w:szCs w:val="24"/>
        </w:rPr>
        <w:t>inding</w:t>
      </w:r>
      <w:r>
        <w:rPr>
          <w:rFonts w:ascii="Times New Roman" w:hAnsi="Times New Roman" w:cs="Times New Roman"/>
          <w:szCs w:val="24"/>
        </w:rPr>
        <w:t xml:space="preserve">. CEU: A person from northern or western Europe. YRI: A person from Nigeria. </w:t>
      </w:r>
    </w:p>
    <w:p w:rsidR="0092399E" w:rsidRDefault="0092399E" w:rsidP="0092399E">
      <w:pPr>
        <w:widowControl/>
        <w:jc w:val="both"/>
        <w:rPr>
          <w:rFonts w:ascii="Times New Roman" w:eastAsia="Times New Roman" w:hAnsi="Times New Roman" w:cs="Times New Roman"/>
          <w:bCs/>
          <w:color w:val="333333"/>
          <w:kern w:val="0"/>
          <w:szCs w:val="24"/>
        </w:rPr>
      </w:pPr>
    </w:p>
    <w:p w:rsidR="0092399E" w:rsidRPr="002F791E" w:rsidRDefault="0092399E" w:rsidP="0092399E">
      <w:pPr>
        <w:widowControl/>
        <w:jc w:val="both"/>
        <w:rPr>
          <w:rFonts w:ascii="Times New Roman" w:eastAsia="Times New Roman" w:hAnsi="Times New Roman" w:cs="Times New Roman"/>
          <w:bCs/>
          <w:color w:val="333333"/>
          <w:kern w:val="0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1078"/>
        <w:gridCol w:w="3017"/>
        <w:gridCol w:w="2275"/>
      </w:tblGrid>
      <w:tr w:rsidR="0092399E" w:rsidRPr="0040574F" w:rsidTr="000566F9">
        <w:trPr>
          <w:cnfStyle w:val="100000000000"/>
          <w:trHeight w:val="315"/>
          <w:jc w:val="center"/>
        </w:trPr>
        <w:tc>
          <w:tcPr>
            <w:cnfStyle w:val="001000000000"/>
            <w:tcW w:w="1078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17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CEU (GM12878) vs. CEU (GM12892)</w:t>
            </w:r>
          </w:p>
        </w:tc>
        <w:tc>
          <w:tcPr>
            <w:tcW w:w="2275" w:type="dxa"/>
            <w:noWrap/>
            <w:vAlign w:val="center"/>
            <w:hideMark/>
          </w:tcPr>
          <w:p w:rsidR="0092399E" w:rsidRPr="0040574F" w:rsidRDefault="0092399E" w:rsidP="000566F9">
            <w:pPr>
              <w:cnfStyle w:val="10000000000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CEU (GM12878) vs. YRI (GM18505)</w:t>
            </w:r>
          </w:p>
        </w:tc>
      </w:tr>
      <w:tr w:rsidR="0092399E" w:rsidRPr="0040574F" w:rsidTr="000566F9">
        <w:trPr>
          <w:cnfStyle w:val="000000100000"/>
          <w:trHeight w:val="315"/>
          <w:jc w:val="center"/>
        </w:trPr>
        <w:tc>
          <w:tcPr>
            <w:cnfStyle w:val="001000000000"/>
            <w:tcW w:w="1078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DSDB</w:t>
            </w:r>
          </w:p>
        </w:tc>
        <w:tc>
          <w:tcPr>
            <w:tcW w:w="3017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5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2399E" w:rsidRPr="0040574F" w:rsidTr="000566F9">
        <w:trPr>
          <w:trHeight w:val="315"/>
          <w:jc w:val="center"/>
        </w:trPr>
        <w:tc>
          <w:tcPr>
            <w:cnfStyle w:val="001000000000"/>
            <w:tcW w:w="1078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DSNDB</w:t>
            </w:r>
          </w:p>
        </w:tc>
        <w:tc>
          <w:tcPr>
            <w:tcW w:w="3017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75" w:type="dxa"/>
            <w:noWrap/>
            <w:vAlign w:val="center"/>
            <w:hideMark/>
          </w:tcPr>
          <w:p w:rsidR="0092399E" w:rsidRPr="0040574F" w:rsidRDefault="0092399E" w:rsidP="000566F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</w:tbl>
    <w:p w:rsidR="0092399E" w:rsidRPr="001957BE" w:rsidRDefault="0092399E" w:rsidP="0092399E">
      <w:pPr>
        <w:rPr>
          <w:rFonts w:ascii="Times New Roman" w:hAnsi="Times New Roman" w:cs="Times New Roman"/>
          <w:sz w:val="22"/>
        </w:rPr>
      </w:pPr>
    </w:p>
    <w:p w:rsidR="00BF3741" w:rsidRDefault="00BF3741"/>
    <w:sectPr w:rsidR="00BF3741" w:rsidSect="00DA0BC6">
      <w:pgSz w:w="11906" w:h="16838"/>
      <w:pgMar w:top="1080" w:right="1800" w:bottom="90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A9" w:rsidRDefault="006647A9" w:rsidP="00123683">
      <w:r>
        <w:separator/>
      </w:r>
    </w:p>
  </w:endnote>
  <w:endnote w:type="continuationSeparator" w:id="0">
    <w:p w:rsidR="006647A9" w:rsidRDefault="006647A9" w:rsidP="0012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A9" w:rsidRDefault="006647A9" w:rsidP="00123683">
      <w:r>
        <w:separator/>
      </w:r>
    </w:p>
  </w:footnote>
  <w:footnote w:type="continuationSeparator" w:id="0">
    <w:p w:rsidR="006647A9" w:rsidRDefault="006647A9" w:rsidP="0012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99E"/>
    <w:rsid w:val="000A6F78"/>
    <w:rsid w:val="00123683"/>
    <w:rsid w:val="006647A9"/>
    <w:rsid w:val="0092399E"/>
    <w:rsid w:val="00B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淺色網底1"/>
    <w:basedOn w:val="a1"/>
    <w:uiPriority w:val="60"/>
    <w:rsid w:val="0092399E"/>
    <w:rPr>
      <w:color w:val="000000" w:themeColor="tex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a4"/>
    <w:uiPriority w:val="99"/>
    <w:semiHidden/>
    <w:unhideWhenUsed/>
    <w:rsid w:val="00123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36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3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36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C.M.T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2013-02-07T04:16:00Z</dcterms:created>
  <dcterms:modified xsi:type="dcterms:W3CDTF">2013-10-19T23:52:00Z</dcterms:modified>
</cp:coreProperties>
</file>