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Ind w:w="93" w:type="dxa"/>
        <w:tblLook w:val="04A0" w:firstRow="1" w:lastRow="0" w:firstColumn="1" w:lastColumn="0" w:noHBand="0" w:noVBand="1"/>
      </w:tblPr>
      <w:tblGrid>
        <w:gridCol w:w="1365"/>
        <w:gridCol w:w="1350"/>
        <w:gridCol w:w="1530"/>
        <w:gridCol w:w="1800"/>
        <w:gridCol w:w="1710"/>
        <w:gridCol w:w="1980"/>
      </w:tblGrid>
      <w:tr w:rsidR="00FE519E" w:rsidRPr="00FE519E" w:rsidTr="00441C0C">
        <w:trPr>
          <w:trHeight w:val="375"/>
        </w:trPr>
        <w:tc>
          <w:tcPr>
            <w:tcW w:w="1365" w:type="dxa"/>
            <w:tcBorders>
              <w:top w:val="single" w:sz="8" w:space="0" w:color="auto"/>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b/>
                <w:bCs/>
                <w:color w:val="000000"/>
                <w:szCs w:val="24"/>
              </w:rPr>
            </w:pPr>
            <w:bookmarkStart w:id="0" w:name="_GoBack" w:colFirst="5" w:colLast="5"/>
            <w:r w:rsidRPr="00FE519E">
              <w:rPr>
                <w:rFonts w:ascii="Times New Roman" w:hAnsi="Times New Roman"/>
                <w:b/>
                <w:bCs/>
                <w:color w:val="000000"/>
                <w:szCs w:val="24"/>
              </w:rPr>
              <w:t>Target</w:t>
            </w:r>
          </w:p>
        </w:tc>
        <w:tc>
          <w:tcPr>
            <w:tcW w:w="2880" w:type="dxa"/>
            <w:gridSpan w:val="2"/>
            <w:tcBorders>
              <w:top w:val="single" w:sz="8" w:space="0" w:color="auto"/>
              <w:left w:val="single" w:sz="4" w:space="0" w:color="auto"/>
              <w:bottom w:val="nil"/>
              <w:right w:val="single" w:sz="4" w:space="0" w:color="000000"/>
            </w:tcBorders>
            <w:shd w:val="clear" w:color="auto" w:fill="auto"/>
            <w:noWrap/>
            <w:vAlign w:val="bottom"/>
            <w:hideMark/>
          </w:tcPr>
          <w:p w:rsidR="00FE519E" w:rsidRPr="00FE519E" w:rsidRDefault="00FE519E" w:rsidP="00FE519E">
            <w:pPr>
              <w:spacing w:after="0"/>
              <w:jc w:val="center"/>
              <w:rPr>
                <w:rFonts w:ascii="Times New Roman" w:hAnsi="Times New Roman"/>
                <w:b/>
                <w:bCs/>
                <w:color w:val="000000"/>
                <w:szCs w:val="24"/>
              </w:rPr>
            </w:pPr>
            <w:r w:rsidRPr="00FE519E">
              <w:rPr>
                <w:rFonts w:ascii="Times New Roman" w:hAnsi="Times New Roman"/>
                <w:b/>
                <w:bCs/>
                <w:color w:val="000000"/>
                <w:szCs w:val="24"/>
              </w:rPr>
              <w:t>Structural data</w:t>
            </w:r>
          </w:p>
        </w:tc>
        <w:tc>
          <w:tcPr>
            <w:tcW w:w="1800" w:type="dxa"/>
            <w:tcBorders>
              <w:top w:val="single" w:sz="8" w:space="0" w:color="auto"/>
              <w:left w:val="nil"/>
              <w:bottom w:val="nil"/>
              <w:right w:val="single" w:sz="4" w:space="0" w:color="auto"/>
            </w:tcBorders>
            <w:shd w:val="clear" w:color="auto" w:fill="auto"/>
            <w:noWrap/>
            <w:vAlign w:val="bottom"/>
            <w:hideMark/>
          </w:tcPr>
          <w:p w:rsidR="00FE519E" w:rsidRPr="009C4E37" w:rsidRDefault="009C4E37" w:rsidP="00FE519E">
            <w:pPr>
              <w:spacing w:after="0"/>
              <w:jc w:val="center"/>
              <w:rPr>
                <w:rFonts w:ascii="Times New Roman" w:hAnsi="Times New Roman"/>
                <w:b/>
                <w:bCs/>
                <w:iCs/>
                <w:color w:val="000000"/>
                <w:szCs w:val="24"/>
              </w:rPr>
            </w:pPr>
            <w:r>
              <w:rPr>
                <w:rFonts w:ascii="Times New Roman" w:hAnsi="Times New Roman"/>
                <w:b/>
                <w:bCs/>
                <w:iCs/>
                <w:color w:val="000000"/>
                <w:szCs w:val="24"/>
              </w:rPr>
              <w:t>Docking-based druggability</w:t>
            </w:r>
          </w:p>
        </w:tc>
        <w:tc>
          <w:tcPr>
            <w:tcW w:w="1710" w:type="dxa"/>
            <w:tcBorders>
              <w:top w:val="single" w:sz="8" w:space="0" w:color="auto"/>
              <w:left w:val="nil"/>
              <w:bottom w:val="nil"/>
              <w:right w:val="single" w:sz="4" w:space="0" w:color="auto"/>
            </w:tcBorders>
            <w:shd w:val="clear" w:color="auto" w:fill="auto"/>
            <w:noWrap/>
            <w:vAlign w:val="bottom"/>
            <w:hideMark/>
          </w:tcPr>
          <w:p w:rsidR="00FE519E" w:rsidRPr="00FE519E" w:rsidRDefault="00FE519E" w:rsidP="00FE519E">
            <w:pPr>
              <w:spacing w:after="0"/>
              <w:jc w:val="center"/>
              <w:rPr>
                <w:rFonts w:ascii="Times New Roman" w:hAnsi="Times New Roman"/>
                <w:b/>
                <w:bCs/>
                <w:color w:val="000000"/>
                <w:szCs w:val="24"/>
              </w:rPr>
            </w:pPr>
            <w:r w:rsidRPr="00FE519E">
              <w:rPr>
                <w:rFonts w:ascii="Times New Roman" w:hAnsi="Times New Roman"/>
                <w:b/>
                <w:bCs/>
                <w:color w:val="000000"/>
                <w:szCs w:val="24"/>
              </w:rPr>
              <w:t xml:space="preserve">Rigid crystal </w:t>
            </w:r>
          </w:p>
        </w:tc>
        <w:tc>
          <w:tcPr>
            <w:tcW w:w="1980" w:type="dxa"/>
            <w:tcBorders>
              <w:top w:val="single" w:sz="8" w:space="0" w:color="auto"/>
              <w:left w:val="nil"/>
              <w:bottom w:val="nil"/>
              <w:right w:val="single" w:sz="4" w:space="0" w:color="auto"/>
            </w:tcBorders>
            <w:shd w:val="clear" w:color="auto" w:fill="auto"/>
            <w:noWrap/>
            <w:vAlign w:val="bottom"/>
            <w:hideMark/>
          </w:tcPr>
          <w:p w:rsidR="00FE519E" w:rsidRPr="00FE519E" w:rsidRDefault="00FE519E" w:rsidP="00FE519E">
            <w:pPr>
              <w:spacing w:after="0"/>
              <w:jc w:val="center"/>
              <w:rPr>
                <w:rFonts w:ascii="Times New Roman" w:hAnsi="Times New Roman"/>
                <w:b/>
                <w:bCs/>
                <w:color w:val="000000"/>
                <w:szCs w:val="24"/>
              </w:rPr>
            </w:pPr>
            <w:r w:rsidRPr="00FE519E">
              <w:rPr>
                <w:rFonts w:ascii="Times New Roman" w:hAnsi="Times New Roman"/>
                <w:b/>
                <w:bCs/>
                <w:color w:val="000000"/>
                <w:szCs w:val="24"/>
              </w:rPr>
              <w:t xml:space="preserve">Protein flexibility </w:t>
            </w:r>
          </w:p>
        </w:tc>
      </w:tr>
      <w:tr w:rsidR="00441C0C" w:rsidRPr="00FE519E" w:rsidTr="00441C0C">
        <w:trPr>
          <w:trHeight w:val="390"/>
        </w:trPr>
        <w:tc>
          <w:tcPr>
            <w:tcW w:w="1365" w:type="dxa"/>
            <w:tcBorders>
              <w:top w:val="nil"/>
              <w:left w:val="nil"/>
              <w:bottom w:val="single" w:sz="8" w:space="0" w:color="auto"/>
              <w:right w:val="single" w:sz="4" w:space="0" w:color="auto"/>
            </w:tcBorders>
            <w:shd w:val="clear" w:color="auto" w:fill="auto"/>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8" w:space="0" w:color="auto"/>
              <w:right w:val="nil"/>
            </w:tcBorders>
            <w:shd w:val="clear" w:color="auto" w:fill="auto"/>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PDB ID</w:t>
            </w:r>
          </w:p>
        </w:tc>
        <w:tc>
          <w:tcPr>
            <w:tcW w:w="1530" w:type="dxa"/>
            <w:tcBorders>
              <w:top w:val="nil"/>
              <w:left w:val="nil"/>
              <w:bottom w:val="single" w:sz="8" w:space="0" w:color="auto"/>
              <w:right w:val="nil"/>
            </w:tcBorders>
            <w:shd w:val="clear" w:color="auto" w:fill="auto"/>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RMSD</w:t>
            </w:r>
            <w:r w:rsidRPr="00FE519E">
              <w:rPr>
                <w:rFonts w:ascii="Times New Roman" w:hAnsi="Times New Roman"/>
                <w:color w:val="000000"/>
                <w:szCs w:val="24"/>
                <w:vertAlign w:val="subscript"/>
              </w:rPr>
              <w:t>ave</w:t>
            </w:r>
            <w:r w:rsidRPr="00FE519E">
              <w:rPr>
                <w:rFonts w:ascii="Times New Roman" w:hAnsi="Times New Roman"/>
                <w:color w:val="000000"/>
                <w:szCs w:val="24"/>
              </w:rPr>
              <w:t xml:space="preserve"> (Å)</w:t>
            </w:r>
          </w:p>
        </w:tc>
        <w:tc>
          <w:tcPr>
            <w:tcW w:w="1800" w:type="dxa"/>
            <w:tcBorders>
              <w:top w:val="nil"/>
              <w:left w:val="single" w:sz="4" w:space="0" w:color="auto"/>
              <w:bottom w:val="single" w:sz="8" w:space="0" w:color="auto"/>
              <w:right w:val="single" w:sz="4" w:space="0" w:color="auto"/>
            </w:tcBorders>
            <w:shd w:val="clear" w:color="auto" w:fill="auto"/>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docking hit rate</w:t>
            </w:r>
          </w:p>
        </w:tc>
        <w:tc>
          <w:tcPr>
            <w:tcW w:w="1710" w:type="dxa"/>
            <w:tcBorders>
              <w:top w:val="nil"/>
              <w:left w:val="nil"/>
              <w:bottom w:val="single" w:sz="8" w:space="0" w:color="auto"/>
              <w:right w:val="nil"/>
            </w:tcBorders>
            <w:shd w:val="clear" w:color="auto" w:fill="auto"/>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DScore+</w:t>
            </w:r>
          </w:p>
        </w:tc>
        <w:tc>
          <w:tcPr>
            <w:tcW w:w="1980" w:type="dxa"/>
            <w:tcBorders>
              <w:top w:val="nil"/>
              <w:left w:val="single" w:sz="4" w:space="0" w:color="auto"/>
              <w:bottom w:val="single" w:sz="8" w:space="0" w:color="auto"/>
              <w:right w:val="single" w:sz="4" w:space="0" w:color="auto"/>
            </w:tcBorders>
            <w:shd w:val="clear" w:color="auto" w:fill="auto"/>
            <w:vAlign w:val="bottom"/>
            <w:hideMark/>
          </w:tcPr>
          <w:p w:rsidR="00FE519E" w:rsidRPr="00FE519E" w:rsidRDefault="00FE519E" w:rsidP="00441C0C">
            <w:pPr>
              <w:spacing w:after="0"/>
              <w:jc w:val="right"/>
              <w:rPr>
                <w:rFonts w:ascii="Times New Roman" w:hAnsi="Times New Roman"/>
                <w:color w:val="000000"/>
                <w:szCs w:val="24"/>
              </w:rPr>
            </w:pPr>
            <w:r w:rsidRPr="00FE519E">
              <w:rPr>
                <w:rFonts w:ascii="Times New Roman" w:hAnsi="Times New Roman"/>
                <w:color w:val="000000"/>
                <w:szCs w:val="24"/>
              </w:rPr>
              <w:t xml:space="preserve">DScore+ </w:t>
            </w:r>
            <w:r w:rsidR="00441C0C">
              <w:rPr>
                <w:rFonts w:ascii="Times New Roman" w:hAnsi="Times New Roman"/>
                <w:color w:val="000000"/>
                <w:szCs w:val="24"/>
              </w:rPr>
              <w:t>w/</w:t>
            </w:r>
            <w:r w:rsidRPr="00FE519E">
              <w:rPr>
                <w:rFonts w:ascii="Times New Roman" w:hAnsi="Times New Roman"/>
                <w:color w:val="000000"/>
                <w:szCs w:val="24"/>
              </w:rPr>
              <w:t xml:space="preserve"> IFD</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ACE</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1uze</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0.60</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B476BE" w:rsidP="00FE519E">
            <w:pPr>
              <w:spacing w:after="0"/>
              <w:jc w:val="left"/>
              <w:rPr>
                <w:rFonts w:ascii="Times New Roman" w:hAnsi="Times New Roman"/>
                <w:color w:val="000000"/>
                <w:szCs w:val="24"/>
              </w:rPr>
            </w:pPr>
            <w:r>
              <w:rPr>
                <w:rFonts w:ascii="Times New Roman" w:hAnsi="Times New Roman"/>
                <w:color w:val="000000"/>
                <w:szCs w:val="24"/>
              </w:rPr>
              <w:t>(difficult)</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1o66</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0.2</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0.45</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1uzf</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0.4</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0.69</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ALR2</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1ah0</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1.42</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1.9</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1ah3</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1.1</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1.27</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2acr</w:t>
            </w:r>
            <w:r w:rsidR="00FB3353">
              <w:rPr>
                <w:rFonts w:ascii="Times New Roman" w:hAnsi="Times New Roman"/>
                <w:color w:val="000000"/>
                <w:szCs w:val="24"/>
              </w:rPr>
              <w:t xml:space="preserve"> (apo)</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0.9</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1.10</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CDK2</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1aq1</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1.32</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1buh</w:t>
            </w:r>
            <w:r w:rsidR="00FB3353">
              <w:rPr>
                <w:rFonts w:ascii="Times New Roman" w:hAnsi="Times New Roman"/>
                <w:color w:val="000000"/>
                <w:szCs w:val="24"/>
              </w:rPr>
              <w:t xml:space="preserve"> (apo)</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1.44</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1dm2</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1.62</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1.9</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COX-2</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1cvu</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1.51</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2.4</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1cx2</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1.2</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1.53</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1.9</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2.0</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3pgh</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1.1</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1.64</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2.0</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2.2</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DHFR</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3dfr</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1.01</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6dfr</w:t>
            </w:r>
            <w:r w:rsidR="00FB3353">
              <w:rPr>
                <w:rFonts w:ascii="Times New Roman" w:hAnsi="Times New Roman"/>
                <w:color w:val="000000"/>
                <w:szCs w:val="24"/>
              </w:rPr>
              <w:t xml:space="preserve"> (apo)</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1.02</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A91CD8" w:rsidP="00FB3353">
            <w:pPr>
              <w:spacing w:after="0"/>
              <w:jc w:val="right"/>
              <w:rPr>
                <w:rFonts w:ascii="Times New Roman" w:hAnsi="Times New Roman"/>
                <w:color w:val="000000"/>
                <w:szCs w:val="24"/>
              </w:rPr>
            </w:pPr>
            <w:r>
              <w:rPr>
                <w:rFonts w:ascii="Times New Roman" w:hAnsi="Times New Roman"/>
                <w:color w:val="000000"/>
                <w:szCs w:val="24"/>
              </w:rPr>
              <w:t>[</w:t>
            </w:r>
            <w:r w:rsidR="00FB3353">
              <w:rPr>
                <w:rFonts w:ascii="Times New Roman" w:hAnsi="Times New Roman"/>
                <w:color w:val="000000"/>
                <w:szCs w:val="24"/>
              </w:rPr>
              <w:t>See caption</w:t>
            </w:r>
            <w:r>
              <w:rPr>
                <w:rFonts w:ascii="Times New Roman" w:hAnsi="Times New Roman"/>
                <w:color w:val="000000"/>
                <w:szCs w:val="24"/>
              </w:rPr>
              <w:t>]</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A91CD8" w:rsidP="00FB3353">
            <w:pPr>
              <w:spacing w:after="0"/>
              <w:jc w:val="right"/>
              <w:rPr>
                <w:rFonts w:ascii="Times New Roman" w:hAnsi="Times New Roman"/>
                <w:color w:val="000000"/>
                <w:szCs w:val="24"/>
              </w:rPr>
            </w:pPr>
            <w:r>
              <w:rPr>
                <w:rFonts w:ascii="Times New Roman" w:hAnsi="Times New Roman"/>
                <w:color w:val="000000"/>
                <w:szCs w:val="24"/>
              </w:rPr>
              <w:t>[</w:t>
            </w:r>
            <w:r w:rsidR="00FB3353">
              <w:rPr>
                <w:rFonts w:ascii="Times New Roman" w:hAnsi="Times New Roman"/>
                <w:color w:val="000000"/>
                <w:szCs w:val="24"/>
              </w:rPr>
              <w:t>See caption</w:t>
            </w:r>
            <w:r>
              <w:rPr>
                <w:rFonts w:ascii="Times New Roman" w:hAnsi="Times New Roman"/>
                <w:color w:val="000000"/>
                <w:szCs w:val="24"/>
              </w:rPr>
              <w:t>]</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ER</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1l2i</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1.69</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2.4</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2.9</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3ert</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2.6</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1.55</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2.0</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2.7</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1err</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1.61</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2.1</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2.8</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Fxa</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1f0r</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1.64</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1fjs</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1.1</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1.59</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1ksn</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0.7</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1.59</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1xka</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1.56</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HIVRT</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1vrt</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1.66</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2.5</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2.5</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1rt1</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1.75</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2.3</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1c1c</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1.9</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1.61</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2.2</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1rth</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1.61</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2.3</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HMGR</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1hw8</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1.39</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1hwk</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0.6</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1.31</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1.9</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NA</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1a4g</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0.57</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1.2</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1a4q</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0.5</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0.52</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1.2</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30"/>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1nsc</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0.3</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0.52</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1.2</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xml:space="preserve">P38a </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1a9u</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1.00</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1kv1</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3.8</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1.16</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2.1</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1kv2</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3.5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1.61</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2.1</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PDE5</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1xoz</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1.18</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1xp0</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0.8</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1.24</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PPARg</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1fm6</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1.46</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2.9</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1fm9</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1.62</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2.6</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3.0</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lastRenderedPageBreak/>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2prg</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0.7</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1.43</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1.9</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2.1</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Thrombin</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1ba8</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1.53</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1hgt</w:t>
            </w:r>
            <w:r w:rsidR="00FB3353">
              <w:rPr>
                <w:rFonts w:ascii="Times New Roman" w:hAnsi="Times New Roman"/>
                <w:color w:val="000000"/>
                <w:szCs w:val="24"/>
              </w:rPr>
              <w:t xml:space="preserve"> (apo)</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0.7</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1.55</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TK</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1kim</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1.58</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2.7</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1ki4</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1.40</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2.6</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IL-2</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1z92</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0.13</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0.9</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1py2</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2.6</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0.62</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1.2</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1m48</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0.62</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1.1</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Bcl-XL</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2bzw</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1.04</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1.5</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2.4</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2yxj</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0.84</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2.5</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TNF</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1tnf</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0.95</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2.4</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2az5</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2.9</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0.96</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2.0</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MDM2</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1ycr</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0.45</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2.5</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1rv1</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1.8</w:t>
            </w: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0.92</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1.7</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2.2</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1t4e</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0.66</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1.6</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2.1</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HPV E2</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1tue</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-0.24</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1.0</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1r6n</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2.8</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1.02</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1.2</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15"/>
        </w:trPr>
        <w:tc>
          <w:tcPr>
            <w:tcW w:w="1365" w:type="dxa"/>
            <w:tcBorders>
              <w:top w:val="nil"/>
              <w:left w:val="nil"/>
              <w:bottom w:val="nil"/>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ZipA</w:t>
            </w:r>
          </w:p>
        </w:tc>
        <w:tc>
          <w:tcPr>
            <w:tcW w:w="1350" w:type="dxa"/>
            <w:tcBorders>
              <w:top w:val="nil"/>
              <w:left w:val="single" w:sz="4" w:space="0" w:color="auto"/>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1f47</w:t>
            </w:r>
          </w:p>
        </w:tc>
        <w:tc>
          <w:tcPr>
            <w:tcW w:w="1530" w:type="dxa"/>
            <w:tcBorders>
              <w:top w:val="nil"/>
              <w:left w:val="nil"/>
              <w:bottom w:val="nil"/>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p>
        </w:tc>
        <w:tc>
          <w:tcPr>
            <w:tcW w:w="180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-0.02</w:t>
            </w:r>
          </w:p>
        </w:tc>
        <w:tc>
          <w:tcPr>
            <w:tcW w:w="1710" w:type="dxa"/>
            <w:tcBorders>
              <w:top w:val="nil"/>
              <w:left w:val="nil"/>
              <w:bottom w:val="nil"/>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0.9</w:t>
            </w:r>
          </w:p>
        </w:tc>
        <w:tc>
          <w:tcPr>
            <w:tcW w:w="1980" w:type="dxa"/>
            <w:tcBorders>
              <w:top w:val="nil"/>
              <w:left w:val="single" w:sz="4" w:space="0" w:color="auto"/>
              <w:bottom w:val="nil"/>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tr w:rsidR="00441C0C" w:rsidRPr="00FE519E" w:rsidTr="00441C0C">
        <w:trPr>
          <w:trHeight w:val="315"/>
        </w:trPr>
        <w:tc>
          <w:tcPr>
            <w:tcW w:w="1365" w:type="dxa"/>
            <w:tcBorders>
              <w:top w:val="nil"/>
              <w:left w:val="nil"/>
              <w:bottom w:val="single" w:sz="4" w:space="0" w:color="auto"/>
              <w:right w:val="single" w:sz="4" w:space="0" w:color="auto"/>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 </w:t>
            </w:r>
          </w:p>
        </w:tc>
        <w:tc>
          <w:tcPr>
            <w:tcW w:w="1350" w:type="dxa"/>
            <w:tcBorders>
              <w:top w:val="nil"/>
              <w:left w:val="single" w:sz="4" w:space="0" w:color="auto"/>
              <w:bottom w:val="single" w:sz="4" w:space="0" w:color="auto"/>
              <w:right w:val="nil"/>
            </w:tcBorders>
            <w:shd w:val="clear" w:color="auto" w:fill="auto"/>
            <w:noWrap/>
            <w:vAlign w:val="bottom"/>
            <w:hideMark/>
          </w:tcPr>
          <w:p w:rsidR="00FE519E" w:rsidRPr="00FE519E" w:rsidRDefault="00FE519E" w:rsidP="00FE519E">
            <w:pPr>
              <w:spacing w:after="0"/>
              <w:jc w:val="left"/>
              <w:rPr>
                <w:rFonts w:ascii="Times New Roman" w:hAnsi="Times New Roman"/>
                <w:color w:val="000000"/>
                <w:szCs w:val="24"/>
              </w:rPr>
            </w:pPr>
            <w:r w:rsidRPr="00FE519E">
              <w:rPr>
                <w:rFonts w:ascii="Times New Roman" w:hAnsi="Times New Roman"/>
                <w:color w:val="000000"/>
                <w:szCs w:val="24"/>
              </w:rPr>
              <w:t>1y2f</w:t>
            </w:r>
          </w:p>
        </w:tc>
        <w:tc>
          <w:tcPr>
            <w:tcW w:w="153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0.6</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-0.10</w:t>
            </w:r>
          </w:p>
        </w:tc>
        <w:tc>
          <w:tcPr>
            <w:tcW w:w="1710" w:type="dxa"/>
            <w:tcBorders>
              <w:top w:val="nil"/>
              <w:left w:val="nil"/>
              <w:bottom w:val="single" w:sz="4" w:space="0" w:color="auto"/>
              <w:right w:val="nil"/>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0.9</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519E" w:rsidRPr="00FE519E" w:rsidRDefault="00FE519E" w:rsidP="00FE519E">
            <w:pPr>
              <w:spacing w:after="0"/>
              <w:jc w:val="right"/>
              <w:rPr>
                <w:rFonts w:ascii="Times New Roman" w:hAnsi="Times New Roman"/>
                <w:color w:val="000000"/>
                <w:szCs w:val="24"/>
              </w:rPr>
            </w:pPr>
            <w:r w:rsidRPr="00FE519E">
              <w:rPr>
                <w:rFonts w:ascii="Times New Roman" w:hAnsi="Times New Roman"/>
                <w:color w:val="000000"/>
                <w:szCs w:val="24"/>
              </w:rPr>
              <w:t>*</w:t>
            </w:r>
          </w:p>
        </w:tc>
      </w:tr>
      <w:bookmarkEnd w:id="0"/>
    </w:tbl>
    <w:p w:rsidR="009E45F8" w:rsidRDefault="009E45F8" w:rsidP="009E45F8">
      <w:pPr>
        <w:pStyle w:val="VAFigureCaption"/>
        <w:spacing w:line="240" w:lineRule="auto"/>
        <w:rPr>
          <w:b/>
          <w:highlight w:val="yellow"/>
        </w:rPr>
      </w:pPr>
    </w:p>
    <w:p w:rsidR="00FE519E" w:rsidRDefault="009E45F8" w:rsidP="00FE519E">
      <w:pPr>
        <w:pStyle w:val="VAFigureCaption"/>
      </w:pPr>
      <w:r w:rsidRPr="00FE519E">
        <w:rPr>
          <w:b/>
        </w:rPr>
        <w:t>Table S</w:t>
      </w:r>
      <w:r w:rsidR="00FE519E" w:rsidRPr="00FE519E">
        <w:rPr>
          <w:b/>
        </w:rPr>
        <w:t>4</w:t>
      </w:r>
      <w:r w:rsidRPr="00FE519E">
        <w:rPr>
          <w:b/>
        </w:rPr>
        <w:t xml:space="preserve">. </w:t>
      </w:r>
      <w:r w:rsidR="00FE519E" w:rsidRPr="00FE519E">
        <w:rPr>
          <w:b/>
        </w:rPr>
        <w:t xml:space="preserve">Extension of Table 2 to comparison of druggability estimations on all targets from </w:t>
      </w:r>
      <w:r w:rsidR="00FE519E" w:rsidRPr="00FE519E">
        <w:rPr>
          <w:b/>
          <w:i/>
        </w:rPr>
        <w:t>Huang and Jacobson</w:t>
      </w:r>
      <w:r w:rsidR="00FE519E" w:rsidRPr="007923D4">
        <w:t xml:space="preserve"> [17]</w:t>
      </w:r>
      <w:r w:rsidR="00FE519E">
        <w:t xml:space="preserve">.  The data under the </w:t>
      </w:r>
      <w:r w:rsidR="00FE519E" w:rsidRPr="007923D4">
        <w:rPr>
          <w:i/>
        </w:rPr>
        <w:t>Structural data</w:t>
      </w:r>
      <w:r w:rsidR="00FE519E">
        <w:t xml:space="preserve"> and </w:t>
      </w:r>
      <w:r w:rsidR="00FE519E" w:rsidRPr="007923D4">
        <w:rPr>
          <w:i/>
        </w:rPr>
        <w:t>Docking-based druggability</w:t>
      </w:r>
      <w:r w:rsidR="00FE519E">
        <w:t xml:space="preserve"> are from reference 17.  Aldose reductase sites required manual intervention to include NAP co-factor.  Without co-factor, Dscore+ is lower, around 1.1.  The DHFR structure with PDB ID 6dfr is missing a large portion of the binding site (both protein and co-factor), and so calculations woul not be relevant; we indicated this with </w:t>
      </w:r>
      <w:r w:rsidR="00E34DC2">
        <w:t>“</w:t>
      </w:r>
      <w:r w:rsidR="00E34DC2">
        <w:rPr>
          <w:rFonts w:ascii="Times New Roman" w:hAnsi="Times New Roman"/>
          <w:color w:val="000000"/>
          <w:szCs w:val="24"/>
        </w:rPr>
        <w:t>[Not calculated]”</w:t>
      </w:r>
      <w:r w:rsidR="00FE519E">
        <w:t xml:space="preserve">.  The flexible druggability method is only performed for binding sites that meet an initial score (with the rigid crystal structure).  However, for the purposes of this study, we removed this cut-off in order to generate values for IL-2 and HPV E2.  For IL-2, performing the flexibility modeling procedure results in DScore+ values of 1.5 (1z92), 1.5 (1py2), and 1.7 (1m48), with small, non-drug-like volumes of 98, 82, 53, respectively.  For HPV E2, the DScore+ values are 1.1 (1tue) and 1.5 </w:t>
      </w:r>
      <w:r w:rsidR="00FE519E">
        <w:lastRenderedPageBreak/>
        <w:t>(1r6n), with reasonable drug-like volumes.  For neuraminidase (NA), the Dscore+ values are 1.8 (1a4g), 1.7 (1a4q), and 1.7 (1nsc), with drug-like volumes.</w:t>
      </w:r>
    </w:p>
    <w:p w:rsidR="009E0963" w:rsidRDefault="009E0963"/>
    <w:sectPr w:rsidR="009E0963" w:rsidSect="009E45F8">
      <w:footerReference w:type="even" r:id="rId7"/>
      <w:footerReference w:type="default" r:id="rId8"/>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58" w:rsidRDefault="00CE4C58">
      <w:pPr>
        <w:spacing w:after="0"/>
      </w:pPr>
      <w:r>
        <w:separator/>
      </w:r>
    </w:p>
  </w:endnote>
  <w:endnote w:type="continuationSeparator" w:id="0">
    <w:p w:rsidR="00CE4C58" w:rsidRDefault="00CE4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70" w:rsidRDefault="009E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5A70" w:rsidRDefault="00CE4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70" w:rsidRDefault="009E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E37">
      <w:rPr>
        <w:rStyle w:val="PageNumber"/>
        <w:noProof/>
      </w:rPr>
      <w:t>1</w:t>
    </w:r>
    <w:r>
      <w:rPr>
        <w:rStyle w:val="PageNumber"/>
      </w:rPr>
      <w:fldChar w:fldCharType="end"/>
    </w:r>
  </w:p>
  <w:p w:rsidR="009A5A70" w:rsidRDefault="00CE4C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58" w:rsidRDefault="00CE4C58">
      <w:pPr>
        <w:spacing w:after="0"/>
      </w:pPr>
      <w:r>
        <w:separator/>
      </w:r>
    </w:p>
  </w:footnote>
  <w:footnote w:type="continuationSeparator" w:id="0">
    <w:p w:rsidR="00CE4C58" w:rsidRDefault="00CE4C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F8"/>
    <w:rsid w:val="000A6FA9"/>
    <w:rsid w:val="0019320D"/>
    <w:rsid w:val="001A6D6E"/>
    <w:rsid w:val="002C2A21"/>
    <w:rsid w:val="00441C0C"/>
    <w:rsid w:val="006C2FC3"/>
    <w:rsid w:val="009C4E37"/>
    <w:rsid w:val="009E0963"/>
    <w:rsid w:val="009E45F8"/>
    <w:rsid w:val="00A91CD8"/>
    <w:rsid w:val="00B476BE"/>
    <w:rsid w:val="00CE4C58"/>
    <w:rsid w:val="00E34DC2"/>
    <w:rsid w:val="00FB3353"/>
    <w:rsid w:val="00FE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F8"/>
    <w:pPr>
      <w:spacing w:line="240" w:lineRule="auto"/>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FigureCaption">
    <w:name w:val="VA_Figure_Caption"/>
    <w:basedOn w:val="Normal"/>
    <w:next w:val="Normal"/>
    <w:rsid w:val="009E45F8"/>
    <w:pPr>
      <w:spacing w:line="480" w:lineRule="auto"/>
    </w:pPr>
  </w:style>
  <w:style w:type="paragraph" w:customStyle="1" w:styleId="TCTableBody">
    <w:name w:val="TC_Table_Body"/>
    <w:basedOn w:val="Normal"/>
    <w:link w:val="TCTableBodyChar"/>
    <w:rsid w:val="009E45F8"/>
  </w:style>
  <w:style w:type="paragraph" w:styleId="Footer">
    <w:name w:val="footer"/>
    <w:basedOn w:val="Normal"/>
    <w:link w:val="FooterChar"/>
    <w:rsid w:val="009E45F8"/>
    <w:pPr>
      <w:tabs>
        <w:tab w:val="center" w:pos="4320"/>
        <w:tab w:val="right" w:pos="8640"/>
      </w:tabs>
    </w:pPr>
  </w:style>
  <w:style w:type="character" w:customStyle="1" w:styleId="FooterChar">
    <w:name w:val="Footer Char"/>
    <w:basedOn w:val="DefaultParagraphFont"/>
    <w:link w:val="Footer"/>
    <w:rsid w:val="009E45F8"/>
    <w:rPr>
      <w:rFonts w:ascii="Times" w:eastAsia="Times New Roman" w:hAnsi="Times" w:cs="Times New Roman"/>
      <w:sz w:val="24"/>
      <w:szCs w:val="20"/>
    </w:rPr>
  </w:style>
  <w:style w:type="character" w:styleId="PageNumber">
    <w:name w:val="page number"/>
    <w:basedOn w:val="DefaultParagraphFont"/>
    <w:rsid w:val="009E45F8"/>
  </w:style>
  <w:style w:type="character" w:customStyle="1" w:styleId="TCTableBodyChar">
    <w:name w:val="TC_Table_Body Char"/>
    <w:link w:val="TCTableBody"/>
    <w:rsid w:val="009E45F8"/>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F8"/>
    <w:pPr>
      <w:spacing w:line="240" w:lineRule="auto"/>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FigureCaption">
    <w:name w:val="VA_Figure_Caption"/>
    <w:basedOn w:val="Normal"/>
    <w:next w:val="Normal"/>
    <w:rsid w:val="009E45F8"/>
    <w:pPr>
      <w:spacing w:line="480" w:lineRule="auto"/>
    </w:pPr>
  </w:style>
  <w:style w:type="paragraph" w:customStyle="1" w:styleId="TCTableBody">
    <w:name w:val="TC_Table_Body"/>
    <w:basedOn w:val="Normal"/>
    <w:link w:val="TCTableBodyChar"/>
    <w:rsid w:val="009E45F8"/>
  </w:style>
  <w:style w:type="paragraph" w:styleId="Footer">
    <w:name w:val="footer"/>
    <w:basedOn w:val="Normal"/>
    <w:link w:val="FooterChar"/>
    <w:rsid w:val="009E45F8"/>
    <w:pPr>
      <w:tabs>
        <w:tab w:val="center" w:pos="4320"/>
        <w:tab w:val="right" w:pos="8640"/>
      </w:tabs>
    </w:pPr>
  </w:style>
  <w:style w:type="character" w:customStyle="1" w:styleId="FooterChar">
    <w:name w:val="Footer Char"/>
    <w:basedOn w:val="DefaultParagraphFont"/>
    <w:link w:val="Footer"/>
    <w:rsid w:val="009E45F8"/>
    <w:rPr>
      <w:rFonts w:ascii="Times" w:eastAsia="Times New Roman" w:hAnsi="Times" w:cs="Times New Roman"/>
      <w:sz w:val="24"/>
      <w:szCs w:val="20"/>
    </w:rPr>
  </w:style>
  <w:style w:type="character" w:styleId="PageNumber">
    <w:name w:val="page number"/>
    <w:basedOn w:val="DefaultParagraphFont"/>
    <w:rsid w:val="009E45F8"/>
  </w:style>
  <w:style w:type="character" w:customStyle="1" w:styleId="TCTableBodyChar">
    <w:name w:val="TC_Table_Body Char"/>
    <w:link w:val="TCTableBody"/>
    <w:rsid w:val="009E45F8"/>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6022">
      <w:bodyDiv w:val="1"/>
      <w:marLeft w:val="0"/>
      <w:marRight w:val="0"/>
      <w:marTop w:val="0"/>
      <w:marBottom w:val="0"/>
      <w:divBdr>
        <w:top w:val="none" w:sz="0" w:space="0" w:color="auto"/>
        <w:left w:val="none" w:sz="0" w:space="0" w:color="auto"/>
        <w:bottom w:val="none" w:sz="0" w:space="0" w:color="auto"/>
        <w:right w:val="none" w:sz="0" w:space="0" w:color="auto"/>
      </w:divBdr>
    </w:div>
    <w:div w:id="18047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Amgen Employee</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chenga</dc:creator>
  <cp:lastModifiedBy>chenga</cp:lastModifiedBy>
  <cp:revision>9</cp:revision>
  <dcterms:created xsi:type="dcterms:W3CDTF">2014-06-02T02:59:00Z</dcterms:created>
  <dcterms:modified xsi:type="dcterms:W3CDTF">2014-06-23T23:57:00Z</dcterms:modified>
</cp:coreProperties>
</file>